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C171" w14:textId="1AA49ED5" w:rsidR="00E323E0" w:rsidRPr="008435BE" w:rsidRDefault="00E323E0" w:rsidP="00BC0F53">
      <w:pPr>
        <w:jc w:val="center"/>
        <w:rPr>
          <w:rFonts w:ascii="Arial" w:hAnsi="Arial" w:cs="Arial"/>
          <w:i/>
          <w:iCs/>
          <w:color w:val="000000" w:themeColor="text1"/>
          <w:sz w:val="36"/>
          <w:szCs w:val="36"/>
        </w:rPr>
      </w:pPr>
      <w:r w:rsidRPr="008435BE">
        <w:rPr>
          <w:b/>
          <w:bCs/>
          <w:i/>
          <w:iCs/>
          <w:color w:val="000000" w:themeColor="text1"/>
          <w:sz w:val="36"/>
          <w:szCs w:val="36"/>
        </w:rPr>
        <w:t xml:space="preserve">Cover Letter for Sample Letter of </w:t>
      </w:r>
      <w:r w:rsidR="00BC0F53">
        <w:rPr>
          <w:b/>
          <w:bCs/>
          <w:i/>
          <w:iCs/>
          <w:color w:val="000000" w:themeColor="text1"/>
          <w:sz w:val="36"/>
          <w:szCs w:val="36"/>
        </w:rPr>
        <w:t>Appeal</w:t>
      </w:r>
      <w:r w:rsidRPr="008435BE" w:rsidDel="0000550E">
        <w:rPr>
          <w:i/>
          <w:iCs/>
          <w:color w:val="000000" w:themeColor="text1"/>
          <w:sz w:val="36"/>
          <w:szCs w:val="36"/>
        </w:rPr>
        <w:t xml:space="preserve"> </w:t>
      </w:r>
    </w:p>
    <w:p w14:paraId="5D8EF181" w14:textId="578480C2" w:rsidR="00E323E0" w:rsidRPr="008435BE" w:rsidRDefault="00E323E0" w:rsidP="00E323E0">
      <w:pPr>
        <w:contextualSpacing/>
        <w:rPr>
          <w:rFonts w:cstheme="minorHAnsi"/>
          <w:b/>
          <w:bCs/>
          <w:color w:val="000000" w:themeColor="text1"/>
        </w:rPr>
      </w:pPr>
    </w:p>
    <w:p w14:paraId="67563CD3" w14:textId="31295A1E" w:rsidR="00365DF0" w:rsidRDefault="00E323E0" w:rsidP="00E323E0">
      <w:pPr>
        <w:contextualSpacing/>
        <w:jc w:val="center"/>
        <w:rPr>
          <w:rFonts w:cstheme="minorHAnsi"/>
          <w:b/>
          <w:bCs/>
          <w:sz w:val="22"/>
          <w:szCs w:val="22"/>
        </w:rPr>
      </w:pPr>
      <w:r w:rsidRPr="004F76F1">
        <w:rPr>
          <w:rFonts w:cstheme="minorHAnsi"/>
          <w:b/>
          <w:bCs/>
          <w:color w:val="000000" w:themeColor="text1"/>
          <w:sz w:val="22"/>
          <w:szCs w:val="22"/>
        </w:rPr>
        <w:t xml:space="preserve">The following pages </w:t>
      </w:r>
      <w:r w:rsidRPr="004F76F1">
        <w:rPr>
          <w:rFonts w:cstheme="minorHAnsi"/>
          <w:b/>
          <w:bCs/>
          <w:sz w:val="22"/>
          <w:szCs w:val="22"/>
        </w:rPr>
        <w:t xml:space="preserve">may be customized to use as a letter of </w:t>
      </w:r>
      <w:r w:rsidR="000B0420" w:rsidRPr="004F76F1">
        <w:rPr>
          <w:rFonts w:cstheme="minorHAnsi"/>
          <w:b/>
          <w:bCs/>
          <w:sz w:val="22"/>
          <w:szCs w:val="22"/>
        </w:rPr>
        <w:t>appeal</w:t>
      </w:r>
      <w:r w:rsidRPr="004F76F1">
        <w:rPr>
          <w:rFonts w:cstheme="minorHAnsi"/>
          <w:b/>
          <w:bCs/>
          <w:sz w:val="22"/>
          <w:szCs w:val="22"/>
        </w:rPr>
        <w:t xml:space="preserve"> for </w:t>
      </w:r>
      <w:r w:rsidR="000B0420" w:rsidRPr="004F76F1">
        <w:rPr>
          <w:rFonts w:cstheme="minorHAnsi"/>
          <w:b/>
          <w:bCs/>
          <w:sz w:val="22"/>
          <w:szCs w:val="22"/>
        </w:rPr>
        <w:t xml:space="preserve">treatment with </w:t>
      </w:r>
    </w:p>
    <w:p w14:paraId="192E1692" w14:textId="0E432148" w:rsidR="00365DF0" w:rsidRDefault="000B0420" w:rsidP="00E323E0">
      <w:pPr>
        <w:contextualSpacing/>
        <w:jc w:val="center"/>
        <w:rPr>
          <w:rFonts w:cstheme="minorHAnsi"/>
          <w:b/>
          <w:bCs/>
          <w:sz w:val="22"/>
          <w:szCs w:val="22"/>
        </w:rPr>
      </w:pPr>
      <w:r w:rsidRPr="004F76F1">
        <w:rPr>
          <w:rFonts w:cstheme="minorHAnsi"/>
          <w:b/>
          <w:bCs/>
          <w:sz w:val="22"/>
          <w:szCs w:val="22"/>
        </w:rPr>
        <w:t xml:space="preserve">VUMERITY® (diroximel fumarate) </w:t>
      </w:r>
      <w:r w:rsidR="00E323E0" w:rsidRPr="004F76F1">
        <w:rPr>
          <w:rFonts w:cstheme="minorHAnsi"/>
          <w:b/>
          <w:bCs/>
          <w:sz w:val="22"/>
          <w:szCs w:val="22"/>
        </w:rPr>
        <w:t xml:space="preserve">for </w:t>
      </w:r>
      <w:r w:rsidR="002B7FEC" w:rsidRPr="004F76F1">
        <w:rPr>
          <w:rFonts w:cstheme="minorHAnsi"/>
          <w:b/>
          <w:bCs/>
          <w:sz w:val="22"/>
          <w:szCs w:val="22"/>
        </w:rPr>
        <w:t xml:space="preserve">a patient with </w:t>
      </w:r>
      <w:r w:rsidR="00E323E0" w:rsidRPr="004F76F1">
        <w:rPr>
          <w:rFonts w:cstheme="minorHAnsi"/>
          <w:b/>
          <w:bCs/>
          <w:sz w:val="22"/>
          <w:szCs w:val="22"/>
        </w:rPr>
        <w:t xml:space="preserve">relapsing multiple sclerosis. </w:t>
      </w:r>
    </w:p>
    <w:p w14:paraId="4FD3B974" w14:textId="26B21721" w:rsidR="00E323E0" w:rsidRPr="004F76F1" w:rsidRDefault="00E323E0" w:rsidP="00E323E0">
      <w:pPr>
        <w:contextualSpacing/>
        <w:jc w:val="center"/>
        <w:rPr>
          <w:rFonts w:cstheme="minorHAnsi"/>
          <w:b/>
          <w:bCs/>
          <w:sz w:val="22"/>
          <w:szCs w:val="22"/>
        </w:rPr>
      </w:pPr>
      <w:r w:rsidRPr="004F76F1">
        <w:rPr>
          <w:rFonts w:cstheme="minorHAnsi"/>
          <w:b/>
          <w:bCs/>
          <w:sz w:val="22"/>
          <w:szCs w:val="22"/>
        </w:rPr>
        <w:t>Please note that the Important Safety Information does not need to be included as part of your letter.</w:t>
      </w:r>
    </w:p>
    <w:p w14:paraId="087E7DF2" w14:textId="0E89E905" w:rsidR="00E323E0" w:rsidRPr="003568BD" w:rsidRDefault="00E323E0" w:rsidP="00E323E0">
      <w:pPr>
        <w:contextualSpacing/>
        <w:rPr>
          <w:rFonts w:cstheme="minorHAnsi"/>
          <w:b/>
          <w:bCs/>
          <w:sz w:val="22"/>
          <w:szCs w:val="22"/>
        </w:rPr>
      </w:pPr>
    </w:p>
    <w:p w14:paraId="77B2687B" w14:textId="7DDBDBD7" w:rsidR="00E323E0" w:rsidRPr="004F76F1" w:rsidRDefault="005E10B8" w:rsidP="00E323E0">
      <w:pPr>
        <w:contextualSpacing/>
        <w:rPr>
          <w:rFonts w:cstheme="minorHAnsi"/>
          <w:sz w:val="22"/>
          <w:szCs w:val="22"/>
        </w:rPr>
      </w:pPr>
      <w:r>
        <w:rPr>
          <w:rFonts w:cstheme="minorHAnsi"/>
          <w:sz w:val="22"/>
          <w:szCs w:val="22"/>
        </w:rPr>
        <w:t xml:space="preserve">The following </w:t>
      </w:r>
      <w:r w:rsidR="00342F9D">
        <w:rPr>
          <w:rFonts w:cstheme="minorHAnsi"/>
          <w:sz w:val="22"/>
          <w:szCs w:val="22"/>
        </w:rPr>
        <w:t xml:space="preserve">sample letter </w:t>
      </w:r>
      <w:r>
        <w:rPr>
          <w:rFonts w:cstheme="minorHAnsi"/>
          <w:sz w:val="22"/>
          <w:szCs w:val="22"/>
        </w:rPr>
        <w:t xml:space="preserve">is intended to be used as a </w:t>
      </w:r>
      <w:r w:rsidR="009C0D3A">
        <w:rPr>
          <w:rFonts w:cstheme="minorHAnsi"/>
          <w:sz w:val="22"/>
          <w:szCs w:val="22"/>
        </w:rPr>
        <w:t>guide;</w:t>
      </w:r>
      <w:r>
        <w:rPr>
          <w:rFonts w:cstheme="minorHAnsi"/>
          <w:sz w:val="22"/>
          <w:szCs w:val="22"/>
        </w:rPr>
        <w:t xml:space="preserve"> therefore it is important to tailor the letter to the specific needs of your patients and address the reason(s) why VUMERITY is the appropriate treatment option. You should always include pertinent clinical information that supports your decision to prescribe VUMERITY. </w:t>
      </w:r>
    </w:p>
    <w:p w14:paraId="125F2009" w14:textId="77777777" w:rsidR="00E323E0" w:rsidRPr="004F76F1" w:rsidRDefault="00E323E0" w:rsidP="00E323E0">
      <w:pPr>
        <w:contextualSpacing/>
        <w:rPr>
          <w:rFonts w:cstheme="minorHAnsi"/>
          <w:sz w:val="22"/>
          <w:szCs w:val="22"/>
        </w:rPr>
      </w:pPr>
    </w:p>
    <w:p w14:paraId="665CBBBB" w14:textId="276E2219" w:rsidR="00E323E0" w:rsidRPr="004F76F1" w:rsidRDefault="00E323E0" w:rsidP="00E323E0">
      <w:pPr>
        <w:contextualSpacing/>
        <w:rPr>
          <w:rFonts w:cstheme="minorHAnsi"/>
          <w:sz w:val="22"/>
          <w:szCs w:val="22"/>
        </w:rPr>
      </w:pPr>
      <w:r w:rsidRPr="004F76F1">
        <w:rPr>
          <w:rFonts w:cstheme="minorHAnsi"/>
          <w:sz w:val="22"/>
          <w:szCs w:val="22"/>
        </w:rPr>
        <w:t xml:space="preserve">Please see below for considerations when writing a letter of </w:t>
      </w:r>
      <w:r w:rsidR="00076934" w:rsidRPr="004F76F1">
        <w:rPr>
          <w:rFonts w:cstheme="minorHAnsi"/>
          <w:sz w:val="22"/>
          <w:szCs w:val="22"/>
        </w:rPr>
        <w:t>appeal</w:t>
      </w:r>
      <w:r w:rsidRPr="004F76F1">
        <w:rPr>
          <w:rFonts w:cstheme="minorHAnsi"/>
          <w:sz w:val="22"/>
          <w:szCs w:val="22"/>
        </w:rPr>
        <w:t xml:space="preserve">: </w:t>
      </w:r>
    </w:p>
    <w:p w14:paraId="4333EEF3" w14:textId="05BF40F3" w:rsidR="00076934" w:rsidRPr="004F76F1" w:rsidRDefault="00076934" w:rsidP="003B1CE8">
      <w:pPr>
        <w:pStyle w:val="ListParagraph"/>
        <w:numPr>
          <w:ilvl w:val="0"/>
          <w:numId w:val="4"/>
        </w:numPr>
        <w:tabs>
          <w:tab w:val="left" w:pos="990"/>
        </w:tabs>
        <w:spacing w:after="0" w:line="240" w:lineRule="auto"/>
        <w:ind w:left="810" w:hanging="358"/>
        <w:rPr>
          <w:rFonts w:cstheme="minorHAnsi"/>
        </w:rPr>
      </w:pPr>
      <w:r w:rsidRPr="004F76F1">
        <w:rPr>
          <w:rFonts w:cstheme="minorHAnsi"/>
        </w:rPr>
        <w:t>Review the health plan’s denial and state the reason(s) you disagree with the denial</w:t>
      </w:r>
      <w:r w:rsidR="007218BA">
        <w:rPr>
          <w:rFonts w:cstheme="minorHAnsi"/>
        </w:rPr>
        <w:t xml:space="preserve">. Also include </w:t>
      </w:r>
      <w:r w:rsidR="007218BA" w:rsidRPr="00DE7622">
        <w:rPr>
          <w:rFonts w:cstheme="minorHAnsi"/>
        </w:rPr>
        <w:t>any criteria that your patient meets per the health plan’s medical policy, and an explanation for why your patient should be excluded from any criteria that he/she/they do(es) not meet</w:t>
      </w:r>
      <w:r w:rsidR="007218BA" w:rsidRPr="007218BA">
        <w:rPr>
          <w:rFonts w:cstheme="minorHAnsi"/>
        </w:rPr>
        <w:t xml:space="preserve"> </w:t>
      </w:r>
    </w:p>
    <w:p w14:paraId="0E9AD332" w14:textId="3AC1DC7A" w:rsidR="00E323E0" w:rsidRPr="004F76F1" w:rsidRDefault="00E323E0" w:rsidP="00E323E0">
      <w:pPr>
        <w:pStyle w:val="ListParagraph"/>
        <w:numPr>
          <w:ilvl w:val="0"/>
          <w:numId w:val="4"/>
        </w:numPr>
        <w:spacing w:after="0" w:line="240" w:lineRule="auto"/>
        <w:rPr>
          <w:rFonts w:cstheme="minorHAnsi"/>
        </w:rPr>
      </w:pPr>
      <w:r w:rsidRPr="004F76F1">
        <w:rPr>
          <w:rFonts w:cstheme="minorHAnsi"/>
        </w:rPr>
        <w:t>Provide background on your patient’s condition and clearly state your patient’s individual circumstances to justify why the prescribed therapy is the appropriate choice</w:t>
      </w:r>
      <w:r w:rsidR="00241BE0" w:rsidRPr="004F76F1">
        <w:rPr>
          <w:rFonts w:cstheme="minorHAnsi"/>
        </w:rPr>
        <w:t xml:space="preserve"> </w:t>
      </w:r>
    </w:p>
    <w:p w14:paraId="64A4EBF8" w14:textId="2AEA4212" w:rsidR="00E323E0" w:rsidRPr="004F76F1" w:rsidRDefault="00E323E0" w:rsidP="00E323E0">
      <w:pPr>
        <w:pStyle w:val="ListParagraph"/>
        <w:numPr>
          <w:ilvl w:val="0"/>
          <w:numId w:val="4"/>
        </w:numPr>
        <w:spacing w:after="0" w:line="240" w:lineRule="auto"/>
        <w:rPr>
          <w:rFonts w:cstheme="minorHAnsi"/>
        </w:rPr>
      </w:pPr>
      <w:r w:rsidRPr="004F76F1">
        <w:rPr>
          <w:rFonts w:cstheme="minorHAnsi"/>
        </w:rPr>
        <w:t>Provide clinical justification and include copies of relevant clinical data to support your decision (eg, chart notes, MRI data, etc)</w:t>
      </w:r>
    </w:p>
    <w:p w14:paraId="0886716F" w14:textId="63098F75" w:rsidR="00E323E0" w:rsidRPr="004F76F1" w:rsidRDefault="00E323E0" w:rsidP="00E323E0">
      <w:pPr>
        <w:pStyle w:val="ListParagraph"/>
        <w:numPr>
          <w:ilvl w:val="0"/>
          <w:numId w:val="4"/>
        </w:numPr>
        <w:spacing w:after="0" w:line="240" w:lineRule="auto"/>
        <w:rPr>
          <w:rFonts w:cstheme="minorHAnsi"/>
        </w:rPr>
      </w:pPr>
      <w:r w:rsidRPr="004F76F1">
        <w:rPr>
          <w:rFonts w:cstheme="minorHAnsi"/>
        </w:rPr>
        <w:t xml:space="preserve">Submit the </w:t>
      </w:r>
      <w:r w:rsidR="00076934" w:rsidRPr="004F76F1">
        <w:rPr>
          <w:rFonts w:cstheme="minorHAnsi"/>
        </w:rPr>
        <w:t>appeal</w:t>
      </w:r>
      <w:r w:rsidRPr="004F76F1">
        <w:rPr>
          <w:rFonts w:cstheme="minorHAnsi"/>
        </w:rPr>
        <w:t xml:space="preserve"> as required by </w:t>
      </w:r>
      <w:r w:rsidR="00BE4564" w:rsidRPr="004F76F1">
        <w:rPr>
          <w:rFonts w:cstheme="minorHAnsi"/>
        </w:rPr>
        <w:t xml:space="preserve">health plan </w:t>
      </w:r>
      <w:r w:rsidRPr="004F76F1">
        <w:rPr>
          <w:rFonts w:cstheme="minorHAnsi"/>
        </w:rPr>
        <w:t xml:space="preserve">and state guidelines. It is important that you understand the </w:t>
      </w:r>
      <w:r w:rsidR="00241BE0" w:rsidRPr="004F76F1">
        <w:rPr>
          <w:rFonts w:cstheme="minorHAnsi"/>
        </w:rPr>
        <w:t xml:space="preserve">appeals </w:t>
      </w:r>
      <w:r w:rsidRPr="004F76F1">
        <w:rPr>
          <w:rFonts w:cstheme="minorHAnsi"/>
        </w:rPr>
        <w:t xml:space="preserve">process for each </w:t>
      </w:r>
      <w:r w:rsidR="00BE4564" w:rsidRPr="004F76F1">
        <w:rPr>
          <w:rFonts w:cstheme="minorHAnsi"/>
        </w:rPr>
        <w:t>health plan</w:t>
      </w:r>
      <w:r w:rsidRPr="004F76F1">
        <w:rPr>
          <w:rFonts w:cstheme="minorHAnsi"/>
        </w:rPr>
        <w:t xml:space="preserve">, including how to submit the </w:t>
      </w:r>
      <w:r w:rsidR="00241BE0" w:rsidRPr="004F76F1">
        <w:rPr>
          <w:rFonts w:cstheme="minorHAnsi"/>
        </w:rPr>
        <w:t>appeal</w:t>
      </w:r>
      <w:r w:rsidRPr="004F76F1">
        <w:rPr>
          <w:rFonts w:cstheme="minorHAnsi"/>
        </w:rPr>
        <w:t xml:space="preserve"> (fax, phone, email, the company’s website, etc)</w:t>
      </w:r>
      <w:r w:rsidR="00241BE0" w:rsidRPr="004F76F1">
        <w:rPr>
          <w:rFonts w:cstheme="minorHAnsi"/>
        </w:rPr>
        <w:t xml:space="preserve">, when the appeal must be filed per the health plan’s time limits, </w:t>
      </w:r>
      <w:r w:rsidR="002B7FEC" w:rsidRPr="004F76F1">
        <w:rPr>
          <w:rFonts w:cstheme="minorHAnsi"/>
        </w:rPr>
        <w:t xml:space="preserve">as well as </w:t>
      </w:r>
      <w:r w:rsidRPr="004F76F1">
        <w:rPr>
          <w:rFonts w:cstheme="minorHAnsi"/>
        </w:rPr>
        <w:t xml:space="preserve">how and when the decision will be communicated </w:t>
      </w:r>
    </w:p>
    <w:p w14:paraId="3C76B913" w14:textId="214333B7" w:rsidR="003568BD" w:rsidRPr="0032470E" w:rsidRDefault="00E323E0" w:rsidP="00DE2134">
      <w:pPr>
        <w:pStyle w:val="ListParagraph"/>
        <w:numPr>
          <w:ilvl w:val="0"/>
          <w:numId w:val="4"/>
        </w:numPr>
        <w:spacing w:after="0" w:line="240" w:lineRule="auto"/>
        <w:rPr>
          <w:rFonts w:cstheme="minorHAnsi"/>
        </w:rPr>
      </w:pPr>
      <w:r w:rsidRPr="004F76F1">
        <w:rPr>
          <w:rFonts w:cstheme="minorHAnsi"/>
        </w:rPr>
        <w:t xml:space="preserve">Track the status of your </w:t>
      </w:r>
      <w:r w:rsidR="008B4096" w:rsidRPr="004F76F1">
        <w:rPr>
          <w:rFonts w:cstheme="minorHAnsi"/>
        </w:rPr>
        <w:t>appeal</w:t>
      </w:r>
      <w:r w:rsidRPr="004F76F1">
        <w:rPr>
          <w:rFonts w:cstheme="minorHAnsi"/>
        </w:rPr>
        <w:t xml:space="preserve"> and follow</w:t>
      </w:r>
      <w:r w:rsidR="002D1AFB">
        <w:rPr>
          <w:rFonts w:cstheme="minorHAnsi"/>
        </w:rPr>
        <w:t xml:space="preserve"> </w:t>
      </w:r>
      <w:r w:rsidRPr="004F76F1">
        <w:rPr>
          <w:rFonts w:cstheme="minorHAnsi"/>
        </w:rPr>
        <w:t xml:space="preserve">up with the </w:t>
      </w:r>
      <w:r w:rsidR="00BE4564" w:rsidRPr="004F76F1">
        <w:rPr>
          <w:rFonts w:cstheme="minorHAnsi"/>
        </w:rPr>
        <w:t xml:space="preserve">health plan </w:t>
      </w:r>
      <w:r w:rsidRPr="004F76F1">
        <w:rPr>
          <w:rFonts w:cstheme="minorHAnsi"/>
        </w:rPr>
        <w:t>as needed</w:t>
      </w:r>
    </w:p>
    <w:p w14:paraId="12AC35CB" w14:textId="77777777" w:rsidR="00E323E0" w:rsidRDefault="00E323E0" w:rsidP="00E323E0">
      <w:pPr>
        <w:spacing w:after="120"/>
        <w:contextualSpacing/>
        <w:rPr>
          <w:rFonts w:cstheme="minorHAnsi"/>
          <w:b/>
        </w:rPr>
      </w:pPr>
      <w:r>
        <w:rPr>
          <w:rFonts w:cstheme="minorHAnsi"/>
          <w:b/>
          <w:noProof/>
        </w:rPr>
        <mc:AlternateContent>
          <mc:Choice Requires="wps">
            <w:drawing>
              <wp:anchor distT="0" distB="0" distL="114300" distR="114300" simplePos="0" relativeHeight="251656192" behindDoc="1" locked="0" layoutInCell="1" allowOverlap="1" wp14:anchorId="65F56FB7" wp14:editId="5B0D0668">
                <wp:simplePos x="0" y="0"/>
                <wp:positionH relativeFrom="column">
                  <wp:posOffset>-111967</wp:posOffset>
                </wp:positionH>
                <wp:positionV relativeFrom="paragraph">
                  <wp:posOffset>133752</wp:posOffset>
                </wp:positionV>
                <wp:extent cx="7089032" cy="4338734"/>
                <wp:effectExtent l="0" t="0" r="0" b="5080"/>
                <wp:wrapNone/>
                <wp:docPr id="1" name="Rounded Rectangle 1"/>
                <wp:cNvGraphicFramePr/>
                <a:graphic xmlns:a="http://schemas.openxmlformats.org/drawingml/2006/main">
                  <a:graphicData uri="http://schemas.microsoft.com/office/word/2010/wordprocessingShape">
                    <wps:wsp>
                      <wps:cNvSpPr/>
                      <wps:spPr>
                        <a:xfrm>
                          <a:off x="0" y="0"/>
                          <a:ext cx="7089032" cy="4338734"/>
                        </a:xfrm>
                        <a:prstGeom prst="roundRect">
                          <a:avLst>
                            <a:gd name="adj" fmla="val 3851"/>
                          </a:avLst>
                        </a:prstGeom>
                        <a:solidFill>
                          <a:schemeClr val="bg1">
                            <a:lumMod val="6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A90A8" id="Rounded Rectangle 1" o:spid="_x0000_s1026" style="position:absolute;margin-left:-8.8pt;margin-top:10.55pt;width:558.2pt;height:34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2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" fillcolor="#a5a5a5 [2092]" stroked="f">
                <v:fill opacity="32896f"/>
              </v:roundrect>
            </w:pict>
          </mc:Fallback>
        </mc:AlternateContent>
      </w:r>
    </w:p>
    <w:p w14:paraId="11E8623A" w14:textId="43F9A594" w:rsidR="00FD1C2D" w:rsidRPr="00FD1C2D" w:rsidRDefault="00FD1C2D" w:rsidP="00FD1C2D">
      <w:pPr>
        <w:pStyle w:val="Footer"/>
      </w:pPr>
      <w:r w:rsidRPr="00FD1C2D">
        <w:rPr>
          <w:b/>
          <w:bCs/>
        </w:rPr>
        <w:t>Indication</w:t>
      </w:r>
    </w:p>
    <w:p w14:paraId="1B0CFE79" w14:textId="72034DE8" w:rsidR="00FD1C2D" w:rsidRDefault="00FD1C2D" w:rsidP="00FD1C2D">
      <w:pPr>
        <w:pStyle w:val="Footer"/>
      </w:pPr>
      <w:r w:rsidRPr="00FD1C2D">
        <w:t>VUMERITY</w:t>
      </w:r>
      <w:r w:rsidRPr="00FD1C2D">
        <w:rPr>
          <w:vertAlign w:val="superscript"/>
        </w:rPr>
        <w:t>®</w:t>
      </w:r>
      <w:r w:rsidRPr="00FD1C2D">
        <w:t xml:space="preserve"> (diroximel fumarate) is indicated for the treatment of relapsing forms of multiple sclerosis (MS), to include clinically isolated syndrome, relapsing-remitting disease, and active secondary progressive disease, in adults.</w:t>
      </w:r>
    </w:p>
    <w:p w14:paraId="47AE9CDF" w14:textId="3BD8460A" w:rsidR="00FD1C2D" w:rsidRPr="00FD1C2D" w:rsidRDefault="00FD1C2D" w:rsidP="00FD1C2D">
      <w:pPr>
        <w:pStyle w:val="Footer"/>
      </w:pPr>
    </w:p>
    <w:p w14:paraId="5C8B32A9" w14:textId="372387EE" w:rsidR="00FD1C2D" w:rsidRPr="00FD1C2D" w:rsidRDefault="00FD1C2D" w:rsidP="00FD1C2D">
      <w:pPr>
        <w:pStyle w:val="Footer"/>
        <w:rPr>
          <w:b/>
          <w:bCs/>
        </w:rPr>
      </w:pPr>
      <w:r w:rsidRPr="00FD1C2D">
        <w:rPr>
          <w:b/>
          <w:bCs/>
        </w:rPr>
        <w:t>Important Safety Information</w:t>
      </w:r>
    </w:p>
    <w:p w14:paraId="63235AE7" w14:textId="4B0724AD" w:rsidR="00FD1C2D" w:rsidRPr="00FD1C2D" w:rsidRDefault="00FD1C2D" w:rsidP="00FD1C2D">
      <w:pPr>
        <w:pStyle w:val="Footer"/>
        <w:rPr>
          <w:b/>
          <w:bCs/>
        </w:rPr>
      </w:pPr>
      <w:r w:rsidRPr="00FD1C2D">
        <w:rPr>
          <w:b/>
          <w:bCs/>
        </w:rPr>
        <w:t>CONTRAINDICATIONS</w:t>
      </w:r>
    </w:p>
    <w:p w14:paraId="5E634421" w14:textId="0E077EC9" w:rsidR="00FD1C2D" w:rsidRPr="00FD1C2D" w:rsidRDefault="00FD1C2D" w:rsidP="00FD1C2D">
      <w:pPr>
        <w:pStyle w:val="Footer"/>
        <w:rPr>
          <w:b/>
          <w:bCs/>
        </w:rPr>
      </w:pPr>
      <w:r w:rsidRPr="00FD1C2D">
        <w:rPr>
          <w:b/>
          <w:bCs/>
        </w:rPr>
        <w:t>VUMERITY is contraindicated in patients</w:t>
      </w:r>
    </w:p>
    <w:p w14:paraId="21399BA1" w14:textId="30F19178" w:rsidR="00FD1C2D" w:rsidRPr="00FD1C2D" w:rsidRDefault="00FD1C2D" w:rsidP="00FD1C2D">
      <w:pPr>
        <w:pStyle w:val="Footer"/>
        <w:numPr>
          <w:ilvl w:val="0"/>
          <w:numId w:val="13"/>
        </w:numPr>
      </w:pPr>
      <w:r w:rsidRPr="00FD1C2D">
        <w:t>With known hypersensitivity to diroximel fumarate, dimethyl fumarate, or to any of the excipients of VUMERITY. Reactions may include anaphylaxis and angioedema</w:t>
      </w:r>
    </w:p>
    <w:p w14:paraId="6C8701D1" w14:textId="68FFD425" w:rsidR="00FD1C2D" w:rsidRPr="006F779B" w:rsidRDefault="00FD1C2D" w:rsidP="00FD1C2D">
      <w:pPr>
        <w:pStyle w:val="Footer"/>
        <w:numPr>
          <w:ilvl w:val="0"/>
          <w:numId w:val="13"/>
        </w:numPr>
      </w:pPr>
      <w:r w:rsidRPr="00FD1C2D">
        <w:t>Taking dimethyl fumarate</w:t>
      </w:r>
    </w:p>
    <w:p w14:paraId="3290E3C4" w14:textId="54C2FE5D" w:rsidR="00FD1C2D" w:rsidRPr="00FD1C2D" w:rsidRDefault="00FD1C2D" w:rsidP="00FD1C2D">
      <w:pPr>
        <w:pStyle w:val="Footer"/>
        <w:rPr>
          <w:b/>
          <w:bCs/>
        </w:rPr>
      </w:pPr>
      <w:r w:rsidRPr="00FD1C2D">
        <w:rPr>
          <w:b/>
          <w:bCs/>
        </w:rPr>
        <w:t>WARNINGS AND PRECAUTIONS</w:t>
      </w:r>
    </w:p>
    <w:p w14:paraId="7B7E95F7" w14:textId="50900412" w:rsidR="00FD1C2D" w:rsidRPr="00FD1C2D" w:rsidRDefault="00FD1C2D" w:rsidP="00FD1C2D">
      <w:pPr>
        <w:pStyle w:val="Footer"/>
        <w:rPr>
          <w:b/>
          <w:bCs/>
        </w:rPr>
      </w:pPr>
      <w:r w:rsidRPr="00FD1C2D">
        <w:rPr>
          <w:b/>
          <w:bCs/>
        </w:rPr>
        <w:t>Anaphylaxis and Angioedema</w:t>
      </w:r>
    </w:p>
    <w:p w14:paraId="424C14AC" w14:textId="3FBE4A54" w:rsidR="00FD1C2D" w:rsidRPr="00FD1C2D" w:rsidRDefault="00FD1C2D" w:rsidP="00FD1C2D">
      <w:pPr>
        <w:pStyle w:val="Footer"/>
        <w:numPr>
          <w:ilvl w:val="0"/>
          <w:numId w:val="14"/>
        </w:numPr>
      </w:pPr>
      <w:r w:rsidRPr="00FD1C2D">
        <w:t>VUMERITY can cause anaphylaxis and angioedema after the first dose or at any time during treatment. Signs and symptoms in patients taking dimethyl fumarate (which has the same active metabolite as VUMERITY) have included difficulty breathing, urticaria, and swelling of the throat and tongue. Patients should be instructed to discontinue VUMERITY and seek immediate medical care should they experience signs and symptoms of anaphylaxis or angioedema</w:t>
      </w:r>
    </w:p>
    <w:p w14:paraId="7BC1F2B5" w14:textId="26DF1DB6" w:rsidR="00FD1C2D" w:rsidRPr="00FD1C2D" w:rsidRDefault="00FD1C2D" w:rsidP="00FD1C2D">
      <w:pPr>
        <w:pStyle w:val="Footer"/>
        <w:rPr>
          <w:b/>
          <w:bCs/>
        </w:rPr>
      </w:pPr>
      <w:r w:rsidRPr="00FD1C2D">
        <w:rPr>
          <w:b/>
          <w:bCs/>
        </w:rPr>
        <w:t>Progressive Multifocal Leukoencephalopathy</w:t>
      </w:r>
    </w:p>
    <w:p w14:paraId="5A88FCFE" w14:textId="0FE65E5B" w:rsidR="00FD1C2D" w:rsidRPr="00FD1C2D" w:rsidRDefault="00FD1C2D" w:rsidP="00FD1C2D">
      <w:pPr>
        <w:pStyle w:val="Footer"/>
        <w:numPr>
          <w:ilvl w:val="0"/>
          <w:numId w:val="14"/>
        </w:numPr>
      </w:pPr>
      <w:r w:rsidRPr="00FD1C2D">
        <w:t>Progressive multifocal leukoencephalopathy (PML) has occurred in patients with MS treated with dimethyl fumarate (which has the same active metabolite as VUMERITY). PML is an opportunistic viral infection of the brain caused by the JC virus (JCV) that typically only occurs in patients who are immunocompromised, and that usually leads to death or severe disability. A fatal case of PML occurred in a patient who received dimethyl fumarate for 4 years while enrolled in a clinical trial</w:t>
      </w:r>
      <w:r w:rsidR="006F779B">
        <w:br/>
      </w:r>
    </w:p>
    <w:p w14:paraId="1774747F" w14:textId="22684C6F" w:rsidR="0032470E" w:rsidRDefault="0032470E" w:rsidP="0032470E">
      <w:pPr>
        <w:pStyle w:val="Footer"/>
      </w:pPr>
    </w:p>
    <w:p w14:paraId="1CCF3894" w14:textId="3B58A40E" w:rsidR="0032470E" w:rsidRDefault="0032470E" w:rsidP="0032470E">
      <w:pPr>
        <w:pStyle w:val="Footer"/>
        <w:jc w:val="center"/>
      </w:pPr>
    </w:p>
    <w:p w14:paraId="0FE33607" w14:textId="610E30C0" w:rsidR="00EA602B" w:rsidRDefault="00EA602B" w:rsidP="0032470E">
      <w:pPr>
        <w:pStyle w:val="Footer"/>
        <w:jc w:val="center"/>
      </w:pPr>
    </w:p>
    <w:p w14:paraId="3670486A" w14:textId="7180707B" w:rsidR="00EA602B" w:rsidRDefault="0032470E" w:rsidP="00894A2F">
      <w:pPr>
        <w:pStyle w:val="Footer"/>
        <w:jc w:val="center"/>
      </w:pPr>
      <w:r w:rsidRPr="00600B93">
        <w:t xml:space="preserve">Please see Important Safety Information continued on next page and full </w:t>
      </w:r>
      <w:hyperlink r:id="rId5" w:history="1">
        <w:r w:rsidRPr="00714B7E">
          <w:rPr>
            <w:rStyle w:val="Hyperlink"/>
            <w:b/>
            <w:bCs/>
          </w:rPr>
          <w:t>Prescribing Information</w:t>
        </w:r>
      </w:hyperlink>
      <w:r w:rsidRPr="00600B93">
        <w:t>.</w:t>
      </w:r>
    </w:p>
    <w:p w14:paraId="40A7525F" w14:textId="5B3E6AD3" w:rsidR="00EA602B" w:rsidRPr="00894A2F" w:rsidRDefault="00EA602B" w:rsidP="00894A2F">
      <w:pPr>
        <w:pStyle w:val="Footer"/>
        <w:rPr>
          <w:b/>
          <w:bCs/>
        </w:rPr>
      </w:pPr>
      <w:r w:rsidRPr="00EA602B">
        <w:rPr>
          <w:rFonts w:cstheme="minorHAnsi"/>
          <w:b/>
          <w:bCs/>
          <w:noProof/>
        </w:rPr>
        <w:lastRenderedPageBreak/>
        <mc:AlternateContent>
          <mc:Choice Requires="wps">
            <w:drawing>
              <wp:anchor distT="0" distB="0" distL="114300" distR="114300" simplePos="0" relativeHeight="251659264" behindDoc="1" locked="0" layoutInCell="1" allowOverlap="1" wp14:anchorId="64AFAAE5" wp14:editId="626EA48A">
                <wp:simplePos x="0" y="0"/>
                <wp:positionH relativeFrom="column">
                  <wp:posOffset>-113168</wp:posOffset>
                </wp:positionH>
                <wp:positionV relativeFrom="paragraph">
                  <wp:posOffset>-122222</wp:posOffset>
                </wp:positionV>
                <wp:extent cx="7088505" cy="8540845"/>
                <wp:effectExtent l="0" t="0" r="0" b="6350"/>
                <wp:wrapNone/>
                <wp:docPr id="4" name="Rounded Rectangle 4"/>
                <wp:cNvGraphicFramePr/>
                <a:graphic xmlns:a="http://schemas.openxmlformats.org/drawingml/2006/main">
                  <a:graphicData uri="http://schemas.microsoft.com/office/word/2010/wordprocessingShape">
                    <wps:wsp>
                      <wps:cNvSpPr/>
                      <wps:spPr>
                        <a:xfrm>
                          <a:off x="0" y="0"/>
                          <a:ext cx="7088505" cy="8540845"/>
                        </a:xfrm>
                        <a:prstGeom prst="roundRect">
                          <a:avLst>
                            <a:gd name="adj" fmla="val 3851"/>
                          </a:avLst>
                        </a:prstGeom>
                        <a:solidFill>
                          <a:schemeClr val="bg1">
                            <a:lumMod val="6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9664B7" id="Rounded Rectangle 4" o:spid="_x0000_s1026" style="position:absolute;margin-left:-8.9pt;margin-top:-9.6pt;width:558.15pt;height:6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2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" fillcolor="#a5a5a5 [2092]" stroked="f">
                <v:fill opacity="32896f"/>
              </v:roundrect>
            </w:pict>
          </mc:Fallback>
        </mc:AlternateContent>
      </w:r>
      <w:r w:rsidRPr="00894A2F">
        <w:rPr>
          <w:b/>
          <w:bCs/>
        </w:rPr>
        <w:t>Progressive Multifocal Leukoencephalopathy (cont’d)</w:t>
      </w:r>
    </w:p>
    <w:p w14:paraId="65FB3A00" w14:textId="3FC7837B" w:rsidR="0032470E" w:rsidRDefault="0032470E" w:rsidP="0032470E">
      <w:pPr>
        <w:pStyle w:val="Footer"/>
        <w:numPr>
          <w:ilvl w:val="0"/>
          <w:numId w:val="14"/>
        </w:numPr>
      </w:pPr>
      <w:r w:rsidRPr="00FD1C2D">
        <w:t>PML has occurred in patients taking dimethyl fumarate in the postmarketing setting in the presence of lymphopenia (&lt;0.9 x 10</w:t>
      </w:r>
      <w:r w:rsidRPr="00FD1C2D">
        <w:rPr>
          <w:vertAlign w:val="superscript"/>
        </w:rPr>
        <w:t>9</w:t>
      </w:r>
      <w:r w:rsidRPr="00FD1C2D">
        <w:t>/L). While the role of lymphopenia in these cases is uncertain, the PML cases have occurred predominantly in patients with lymphocyte counts &lt;0.8×10</w:t>
      </w:r>
      <w:r w:rsidRPr="00FD1C2D">
        <w:rPr>
          <w:vertAlign w:val="superscript"/>
        </w:rPr>
        <w:t>9</w:t>
      </w:r>
      <w:r w:rsidRPr="00FD1C2D">
        <w:t>/L persisting for more than 6 months</w:t>
      </w:r>
    </w:p>
    <w:p w14:paraId="49026FE5" w14:textId="7F74685C" w:rsidR="00FD1C2D" w:rsidRPr="00FD1C2D" w:rsidRDefault="00FD1C2D" w:rsidP="00FD1C2D">
      <w:pPr>
        <w:pStyle w:val="Footer"/>
        <w:numPr>
          <w:ilvl w:val="0"/>
          <w:numId w:val="14"/>
        </w:numPr>
      </w:pPr>
      <w:r w:rsidRPr="00FD1C2D">
        <w:t>At the first sign or symptom suggestive of PML, withhold VUMERITY and perform an appropriate diagnostic evaluation. Typical symptoms associated with PML are diverse, progress over days to weeks, and include progressive weakness on one side of the body or clumsiness of limbs, disturbance of vision, and changes in thinking, memory, and orientation leading to confusion and personality changes</w:t>
      </w:r>
    </w:p>
    <w:p w14:paraId="7D8B7616" w14:textId="5B100288" w:rsidR="00FD1C2D" w:rsidRPr="00FD1C2D" w:rsidRDefault="00FD1C2D" w:rsidP="00FD1C2D">
      <w:pPr>
        <w:pStyle w:val="Footer"/>
        <w:numPr>
          <w:ilvl w:val="0"/>
          <w:numId w:val="14"/>
        </w:numPr>
      </w:pPr>
      <w:r w:rsidRPr="00FD1C2D">
        <w:t>Magnetic resonance imaging (MRI) findings may be apparent before clinical signs or symptoms. Monitoring with MRI for signs consistent with PML may be useful, and any suspicious findings should lead to further investigation to allow for an early diagnosis of PML, if present</w:t>
      </w:r>
    </w:p>
    <w:p w14:paraId="6A3E1849" w14:textId="5B053A5D" w:rsidR="00FD1C2D" w:rsidRPr="00FD1C2D" w:rsidRDefault="00FD1C2D" w:rsidP="00FD1C2D">
      <w:pPr>
        <w:pStyle w:val="Footer"/>
        <w:rPr>
          <w:b/>
          <w:bCs/>
        </w:rPr>
      </w:pPr>
      <w:r w:rsidRPr="00FD1C2D">
        <w:rPr>
          <w:b/>
          <w:bCs/>
        </w:rPr>
        <w:t>Herpes Zoster and Other Serious Opportunistic Infections</w:t>
      </w:r>
    </w:p>
    <w:p w14:paraId="6B3690BE" w14:textId="27124CBD" w:rsidR="00FD1C2D" w:rsidRPr="00FD1C2D" w:rsidRDefault="00FD1C2D" w:rsidP="00FD1C2D">
      <w:pPr>
        <w:pStyle w:val="Footer"/>
        <w:numPr>
          <w:ilvl w:val="0"/>
          <w:numId w:val="15"/>
        </w:numPr>
      </w:pPr>
      <w:r w:rsidRPr="00FD1C2D">
        <w:t>Serious cases of herpes zoster have occurred in patients treated with dimethyl fumarate (which has the same active metabolite as VUMERITY), including disseminated herpes zoster, herpes zoster ophthalmicus, herpes zoster meningoencephalitis, and herpes zoster meningomyelitis. These events may occur at any time during treatment. Monitor patients on VUMERITY for signs and symptoms of herpes zoster. If herpes zoster occurs, appropriate treatment for herpes zoster should be administered</w:t>
      </w:r>
    </w:p>
    <w:p w14:paraId="275BBC44" w14:textId="77777777" w:rsidR="00FD1C2D" w:rsidRPr="00FD1C2D" w:rsidRDefault="00FD1C2D" w:rsidP="00FD1C2D">
      <w:pPr>
        <w:pStyle w:val="Footer"/>
        <w:numPr>
          <w:ilvl w:val="0"/>
          <w:numId w:val="15"/>
        </w:numPr>
      </w:pPr>
      <w:r w:rsidRPr="00FD1C2D">
        <w:t>Other serious opportunistic infections have occurred with dimethyl fumarate, including cases of serious viral (herpes simplex virus, West Nile virus, cytomegalovirus), fungal (Candida and Aspergillus), and bacterial (Nocardia, Listeria monocytogenes, Mycobacterium tuberculosis) infections. These infections have been reported in patients with reduced absolute lymphocyte counts (ALC) as well as in patients with normal ALC. These infections have affected the brain, meninges, spinal cord, gastrointestinal tract, lungs, skin, eye, and ear. Patients with symptoms and signs consistent with any of these infections should undergo prompt diagnostic evaluation and receive appropriate treatment</w:t>
      </w:r>
    </w:p>
    <w:p w14:paraId="05523E45" w14:textId="77777777" w:rsidR="00FD1C2D" w:rsidRPr="00FD1C2D" w:rsidRDefault="00FD1C2D" w:rsidP="00FD1C2D">
      <w:pPr>
        <w:pStyle w:val="Footer"/>
        <w:numPr>
          <w:ilvl w:val="0"/>
          <w:numId w:val="15"/>
        </w:numPr>
      </w:pPr>
      <w:r w:rsidRPr="00FD1C2D">
        <w:t>Consider withholding VUMERITY treatment in patients with herpes zoster or other serious infections until the infection has resolved</w:t>
      </w:r>
    </w:p>
    <w:p w14:paraId="3F2B8E12" w14:textId="77777777" w:rsidR="00FD1C2D" w:rsidRPr="00FD1C2D" w:rsidRDefault="00FD1C2D" w:rsidP="00FD1C2D">
      <w:pPr>
        <w:pStyle w:val="Footer"/>
        <w:rPr>
          <w:b/>
          <w:bCs/>
        </w:rPr>
      </w:pPr>
      <w:r w:rsidRPr="00FD1C2D">
        <w:rPr>
          <w:b/>
          <w:bCs/>
        </w:rPr>
        <w:t>Lymphopenia</w:t>
      </w:r>
    </w:p>
    <w:p w14:paraId="04F61A71" w14:textId="1E904D96" w:rsidR="00FD1C2D" w:rsidRPr="00FD1C2D" w:rsidRDefault="00FD1C2D" w:rsidP="00FD1C2D">
      <w:pPr>
        <w:pStyle w:val="Footer"/>
        <w:numPr>
          <w:ilvl w:val="0"/>
          <w:numId w:val="16"/>
        </w:numPr>
      </w:pPr>
      <w:r w:rsidRPr="00FD1C2D">
        <w:t>VUMERITY may decrease lymphocyte counts. In the MS placebo-controlled trials with dimethyl fumarate (which has the same active metabolite as VUMERITY), mean lymphocyte counts decreased by approximately 30% during the first year of treatment with dimethyl fumarate and then remained stable. Four weeks after stopping dimethyl fumarate, mean lymphocyte counts increased but did not return to baseline. The incidence of infections and serious infections was similar in patients treated with dimethyl fumarate or placebo. There was no increased incidence of serious infections observed in patients with lymphocyte counts &lt;0.8 x 10</w:t>
      </w:r>
      <w:r w:rsidRPr="00FD1C2D">
        <w:rPr>
          <w:vertAlign w:val="superscript"/>
        </w:rPr>
        <w:t>9</w:t>
      </w:r>
      <w:r w:rsidRPr="00FD1C2D">
        <w:t>/L or ≤0.5 x 10</w:t>
      </w:r>
      <w:r w:rsidRPr="00FD1C2D">
        <w:rPr>
          <w:vertAlign w:val="superscript"/>
        </w:rPr>
        <w:t>9</w:t>
      </w:r>
      <w:r w:rsidRPr="00FD1C2D">
        <w:t>/L in controlled trials, although one patient in an extension study developed PML in the setting of prolonged lymphopenia (lymphocyte counts predominantly &lt;0.5 x 10</w:t>
      </w:r>
      <w:r w:rsidRPr="00FD1C2D">
        <w:rPr>
          <w:vertAlign w:val="superscript"/>
        </w:rPr>
        <w:t>9</w:t>
      </w:r>
      <w:r w:rsidRPr="00FD1C2D">
        <w:t>/L for 3.5 years)</w:t>
      </w:r>
    </w:p>
    <w:p w14:paraId="7061029E" w14:textId="77D3559A" w:rsidR="00FD1C2D" w:rsidRPr="00FD1C2D" w:rsidRDefault="00FD1C2D" w:rsidP="00FD1C2D">
      <w:pPr>
        <w:pStyle w:val="Footer"/>
        <w:numPr>
          <w:ilvl w:val="0"/>
          <w:numId w:val="16"/>
        </w:numPr>
      </w:pPr>
      <w:r w:rsidRPr="00FD1C2D">
        <w:t xml:space="preserve">In controlled and uncontrolled clinical trials with dimethyl fumarate, 2% of patients experienced prolonged, severe lymphopenia (defined as lymphocyte counts &lt;0.5 </w:t>
      </w:r>
      <w:r w:rsidR="00B666A5">
        <w:t>x</w:t>
      </w:r>
      <w:r w:rsidRPr="00FD1C2D">
        <w:t xml:space="preserve"> 10</w:t>
      </w:r>
      <w:r w:rsidRPr="00FD1C2D">
        <w:rPr>
          <w:vertAlign w:val="superscript"/>
        </w:rPr>
        <w:t>9</w:t>
      </w:r>
      <w:r w:rsidRPr="00FD1C2D">
        <w:t xml:space="preserve">/L for at least six months); in this group of patients, the majority of lymphocyte counts remained &lt;0.5 </w:t>
      </w:r>
      <w:r w:rsidR="00B666A5">
        <w:t>x</w:t>
      </w:r>
      <w:r w:rsidRPr="00FD1C2D">
        <w:t xml:space="preserve"> 10</w:t>
      </w:r>
      <w:r w:rsidRPr="00FD1C2D">
        <w:rPr>
          <w:vertAlign w:val="superscript"/>
        </w:rPr>
        <w:t>9</w:t>
      </w:r>
      <w:r w:rsidRPr="00FD1C2D">
        <w:t>/L with continued therapy. In these patients with prolonged, severe lymphopenia, the median time for lymphocyte counts to return to normal after discontinuing dimethyl fumarate was 96.0 weeks</w:t>
      </w:r>
    </w:p>
    <w:p w14:paraId="54AE4F9F" w14:textId="77777777" w:rsidR="00FD1C2D" w:rsidRPr="00FD1C2D" w:rsidRDefault="00FD1C2D" w:rsidP="00FD1C2D">
      <w:pPr>
        <w:pStyle w:val="Footer"/>
        <w:numPr>
          <w:ilvl w:val="0"/>
          <w:numId w:val="16"/>
        </w:numPr>
      </w:pPr>
      <w:r w:rsidRPr="00FD1C2D">
        <w:t xml:space="preserve">In these controlled and uncontrolled clinical studies, among patients who did not experience prolonged, severe lymphopenia during treatment, the median </w:t>
      </w:r>
      <w:proofErr w:type="gramStart"/>
      <w:r w:rsidRPr="00FD1C2D">
        <w:t>times</w:t>
      </w:r>
      <w:proofErr w:type="gramEnd"/>
      <w:r w:rsidRPr="00FD1C2D">
        <w:t xml:space="preserve"> for lymphocyte counts to return to normal after discontinuing dimethyl fumarate were as follows:</w:t>
      </w:r>
    </w:p>
    <w:p w14:paraId="3E317A14" w14:textId="77777777" w:rsidR="00FD1C2D" w:rsidRPr="00FD1C2D" w:rsidRDefault="00FD1C2D" w:rsidP="00FD1C2D">
      <w:pPr>
        <w:pStyle w:val="Footer"/>
        <w:numPr>
          <w:ilvl w:val="1"/>
          <w:numId w:val="16"/>
        </w:numPr>
      </w:pPr>
      <w:r w:rsidRPr="00FD1C2D">
        <w:t>4.3 weeks in patients with mild lymphopenia (lymphocyte count ≥0.8 x 10</w:t>
      </w:r>
      <w:r w:rsidRPr="00FD1C2D">
        <w:rPr>
          <w:vertAlign w:val="superscript"/>
        </w:rPr>
        <w:t>9</w:t>
      </w:r>
      <w:r w:rsidRPr="00FD1C2D">
        <w:t xml:space="preserve">/L) at discontinuation, </w:t>
      </w:r>
    </w:p>
    <w:p w14:paraId="0B2519A6" w14:textId="77777777" w:rsidR="00FD1C2D" w:rsidRPr="00FD1C2D" w:rsidRDefault="00FD1C2D" w:rsidP="00FD1C2D">
      <w:pPr>
        <w:pStyle w:val="Footer"/>
        <w:numPr>
          <w:ilvl w:val="1"/>
          <w:numId w:val="16"/>
        </w:numPr>
      </w:pPr>
      <w:r w:rsidRPr="00FD1C2D">
        <w:t>10.0 weeks in patients with moderate lymphopenia (lymphocyte count 0.5 to &lt;0.8 x 10</w:t>
      </w:r>
      <w:r w:rsidRPr="00FD1C2D">
        <w:rPr>
          <w:vertAlign w:val="superscript"/>
        </w:rPr>
        <w:t>9</w:t>
      </w:r>
      <w:r w:rsidRPr="00FD1C2D">
        <w:t xml:space="preserve">/L) at discontinuation, and </w:t>
      </w:r>
    </w:p>
    <w:p w14:paraId="2955BA9D" w14:textId="77777777" w:rsidR="00FD1C2D" w:rsidRPr="00FD1C2D" w:rsidRDefault="00FD1C2D" w:rsidP="00FD1C2D">
      <w:pPr>
        <w:pStyle w:val="Footer"/>
        <w:numPr>
          <w:ilvl w:val="1"/>
          <w:numId w:val="16"/>
        </w:numPr>
      </w:pPr>
      <w:r w:rsidRPr="00FD1C2D">
        <w:t>16.7 weeks in patients with severe lymphopenia (lymphocyte count &lt;0.5 x 10</w:t>
      </w:r>
      <w:r w:rsidRPr="00FD1C2D">
        <w:rPr>
          <w:vertAlign w:val="superscript"/>
        </w:rPr>
        <w:t>9</w:t>
      </w:r>
      <w:r w:rsidRPr="00FD1C2D">
        <w:t xml:space="preserve">/L) at discontinuation. </w:t>
      </w:r>
    </w:p>
    <w:p w14:paraId="62602BE2" w14:textId="77777777" w:rsidR="00FD1C2D" w:rsidRPr="00FD1C2D" w:rsidRDefault="00FD1C2D" w:rsidP="00FD1C2D">
      <w:pPr>
        <w:pStyle w:val="Footer"/>
        <w:numPr>
          <w:ilvl w:val="0"/>
          <w:numId w:val="16"/>
        </w:numPr>
      </w:pPr>
      <w:r w:rsidRPr="00FD1C2D">
        <w:t>Neither VUMERITY nor dimethyl fumarate have been studied in patients with preexisting low lymphocyte counts</w:t>
      </w:r>
    </w:p>
    <w:p w14:paraId="37E00F47" w14:textId="3FC70CD0" w:rsidR="00A42600" w:rsidRDefault="00A42600" w:rsidP="0032470E">
      <w:pPr>
        <w:pStyle w:val="Footer"/>
        <w:ind w:left="360"/>
        <w:jc w:val="center"/>
      </w:pPr>
    </w:p>
    <w:p w14:paraId="52435497" w14:textId="77777777" w:rsidR="00A42600" w:rsidRDefault="00A42600" w:rsidP="0032470E">
      <w:pPr>
        <w:pStyle w:val="Footer"/>
        <w:ind w:left="360"/>
        <w:jc w:val="center"/>
      </w:pPr>
    </w:p>
    <w:p w14:paraId="4EF012EE" w14:textId="77777777" w:rsidR="00A42600" w:rsidRDefault="00A42600" w:rsidP="0032470E">
      <w:pPr>
        <w:pStyle w:val="Footer"/>
        <w:ind w:left="360"/>
        <w:jc w:val="center"/>
      </w:pPr>
    </w:p>
    <w:p w14:paraId="55BF2A25" w14:textId="77777777" w:rsidR="00A42600" w:rsidRDefault="00A42600" w:rsidP="0032470E">
      <w:pPr>
        <w:pStyle w:val="Footer"/>
        <w:ind w:left="360"/>
        <w:jc w:val="center"/>
      </w:pPr>
    </w:p>
    <w:p w14:paraId="7C38EBB0" w14:textId="0FE02EEF" w:rsidR="0032470E" w:rsidRPr="00FD1C2D" w:rsidRDefault="0032470E" w:rsidP="0032470E">
      <w:pPr>
        <w:pStyle w:val="Footer"/>
        <w:ind w:left="360"/>
        <w:jc w:val="center"/>
      </w:pPr>
      <w:r w:rsidRPr="00600B93">
        <w:t xml:space="preserve">Please see Important Safety Information continued on next page and full </w:t>
      </w:r>
      <w:hyperlink r:id="rId6" w:history="1">
        <w:r w:rsidRPr="00714B7E">
          <w:rPr>
            <w:rStyle w:val="Hyperlink"/>
            <w:b/>
            <w:bCs/>
          </w:rPr>
          <w:t>Prescribing Information</w:t>
        </w:r>
      </w:hyperlink>
      <w:r w:rsidRPr="00600B93">
        <w:t>.</w:t>
      </w:r>
    </w:p>
    <w:p w14:paraId="4C16B43F" w14:textId="04BC96B4" w:rsidR="00EA602B" w:rsidRPr="00894A2F" w:rsidRDefault="00EA602B" w:rsidP="00894A2F">
      <w:pPr>
        <w:pStyle w:val="Footer"/>
        <w:rPr>
          <w:b/>
          <w:bCs/>
        </w:rPr>
      </w:pPr>
      <w:r>
        <w:rPr>
          <w:rFonts w:cstheme="minorHAnsi"/>
          <w:b/>
          <w:noProof/>
        </w:rPr>
        <w:lastRenderedPageBreak/>
        <mc:AlternateContent>
          <mc:Choice Requires="wps">
            <w:drawing>
              <wp:anchor distT="0" distB="0" distL="114300" distR="114300" simplePos="0" relativeHeight="251661312" behindDoc="1" locked="0" layoutInCell="1" allowOverlap="1" wp14:anchorId="62CAF235" wp14:editId="3618190A">
                <wp:simplePos x="0" y="0"/>
                <wp:positionH relativeFrom="column">
                  <wp:posOffset>-116958</wp:posOffset>
                </wp:positionH>
                <wp:positionV relativeFrom="paragraph">
                  <wp:posOffset>-74427</wp:posOffset>
                </wp:positionV>
                <wp:extent cx="7143115" cy="8335926"/>
                <wp:effectExtent l="0" t="0" r="0" b="0"/>
                <wp:wrapNone/>
                <wp:docPr id="5" name="Rounded Rectangle 5"/>
                <wp:cNvGraphicFramePr/>
                <a:graphic xmlns:a="http://schemas.openxmlformats.org/drawingml/2006/main">
                  <a:graphicData uri="http://schemas.microsoft.com/office/word/2010/wordprocessingShape">
                    <wps:wsp>
                      <wps:cNvSpPr/>
                      <wps:spPr>
                        <a:xfrm>
                          <a:off x="0" y="0"/>
                          <a:ext cx="7143115" cy="8335926"/>
                        </a:xfrm>
                        <a:prstGeom prst="roundRect">
                          <a:avLst>
                            <a:gd name="adj" fmla="val 3851"/>
                          </a:avLst>
                        </a:prstGeom>
                        <a:solidFill>
                          <a:schemeClr val="bg1">
                            <a:lumMod val="6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2A09D" id="Rounded Rectangle 5" o:spid="_x0000_s1026" style="position:absolute;margin-left:-9.2pt;margin-top:-5.85pt;width:562.45pt;height:65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2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" fillcolor="#a5a5a5 [2092]" stroked="f">
                <v:fill opacity="32896f"/>
              </v:roundrect>
            </w:pict>
          </mc:Fallback>
        </mc:AlternateContent>
      </w:r>
      <w:r>
        <w:rPr>
          <w:b/>
          <w:bCs/>
        </w:rPr>
        <w:t>Lymphopenia (cont</w:t>
      </w:r>
      <w:r w:rsidR="00B30033">
        <w:rPr>
          <w:b/>
          <w:bCs/>
        </w:rPr>
        <w:t>’d</w:t>
      </w:r>
      <w:r>
        <w:rPr>
          <w:b/>
          <w:bCs/>
        </w:rPr>
        <w:t>)</w:t>
      </w:r>
    </w:p>
    <w:p w14:paraId="3CA842F7" w14:textId="331F0310" w:rsidR="00A42600" w:rsidRPr="00A42600" w:rsidRDefault="00A42600" w:rsidP="00894A2F">
      <w:pPr>
        <w:pStyle w:val="Footer"/>
        <w:numPr>
          <w:ilvl w:val="0"/>
          <w:numId w:val="16"/>
        </w:numPr>
        <w:spacing w:line="-240" w:lineRule="auto"/>
        <w:rPr>
          <w:b/>
          <w:bCs/>
        </w:rPr>
      </w:pPr>
      <w:r w:rsidRPr="00FD1C2D">
        <w:t xml:space="preserve">Obtain a complete blood count (CBC), including lymphocyte count, before initiating treatment with VUMERITY, </w:t>
      </w:r>
      <w:r w:rsidR="0086273E">
        <w:br/>
      </w:r>
      <w:r w:rsidRPr="00FD1C2D">
        <w:t>6 months after starting treatment, and then every 6 to 12 months thereafter, and as clinically indicated. Consider interruption of VUMERITY in patients with lymphocyte counts less than 0.5 x 10</w:t>
      </w:r>
      <w:r w:rsidRPr="00FD1C2D">
        <w:rPr>
          <w:vertAlign w:val="superscript"/>
        </w:rPr>
        <w:t>9</w:t>
      </w:r>
      <w:r w:rsidRPr="00FD1C2D">
        <w:t>/L persisting for more than six months. Given the potential for delayed recovery of lymphocyte counts, continue to obtain lymphocyte counts until their recovery if VUMERITY is discontinued or interrupted because of lymphopenia. Consider withholding treatment from patients with serious infections until resolution</w:t>
      </w:r>
    </w:p>
    <w:p w14:paraId="3CB3CBCD" w14:textId="5A006BD3" w:rsidR="00FD1C2D" w:rsidRPr="00FD1C2D" w:rsidRDefault="00FD1C2D" w:rsidP="00FD1C2D">
      <w:pPr>
        <w:pStyle w:val="Footer"/>
        <w:rPr>
          <w:b/>
          <w:bCs/>
        </w:rPr>
      </w:pPr>
      <w:r w:rsidRPr="00FD1C2D">
        <w:rPr>
          <w:b/>
          <w:bCs/>
        </w:rPr>
        <w:t>Liver Injury</w:t>
      </w:r>
    </w:p>
    <w:p w14:paraId="589E49E5" w14:textId="41E1ED5D" w:rsidR="00FD1C2D" w:rsidRPr="00FD1C2D" w:rsidRDefault="00FD1C2D" w:rsidP="00894A2F">
      <w:pPr>
        <w:pStyle w:val="Footer"/>
        <w:numPr>
          <w:ilvl w:val="0"/>
          <w:numId w:val="17"/>
        </w:numPr>
        <w:spacing w:line="240" w:lineRule="exact"/>
      </w:pPr>
      <w:r w:rsidRPr="00FD1C2D">
        <w:t>Clinically significant cases of liver injury have been reported in patients treated with dimethyl fumarate (which has the same active metabolite as VUMERITY) in the postmarketing setting. The onset has ranged from a few days to several months after initiation of treatment with dimethyl fumarate. Signs and symptoms of liver injury, including elevation of serum aminotransferases to greater than 5-fold the upper limit of normal and elevation of total bilirubin to greater than 2-fold the upper limit of normal have been observed. These abnormalities resolved upon treatment discontinuation. Some cases required hospitalization. None of the reported cases resulted in liver failure, liver transplant, or death. However, the combination of new serum aminotransferase elevations with increased levels of bilirubin caused by drug-induced hepatocellular injury is an important predictor of serious liver injury that may lead to acute liver failure, liver transplant, or death in some patients</w:t>
      </w:r>
    </w:p>
    <w:p w14:paraId="4B85A88A" w14:textId="77777777" w:rsidR="00FD1C2D" w:rsidRPr="00FD1C2D" w:rsidRDefault="00FD1C2D" w:rsidP="00894A2F">
      <w:pPr>
        <w:pStyle w:val="Footer"/>
        <w:numPr>
          <w:ilvl w:val="0"/>
          <w:numId w:val="17"/>
        </w:numPr>
        <w:spacing w:line="240" w:lineRule="exact"/>
      </w:pPr>
      <w:r w:rsidRPr="00FD1C2D">
        <w:t>Elevations of hepatic transaminases (most no greater than 3 times the upper limit of normal) were observed during controlled trials with dimethyl fumarate</w:t>
      </w:r>
    </w:p>
    <w:p w14:paraId="619F8182" w14:textId="77777777" w:rsidR="00FD1C2D" w:rsidRPr="00FD1C2D" w:rsidRDefault="00FD1C2D" w:rsidP="00894A2F">
      <w:pPr>
        <w:pStyle w:val="Footer"/>
        <w:numPr>
          <w:ilvl w:val="0"/>
          <w:numId w:val="17"/>
        </w:numPr>
        <w:spacing w:line="240" w:lineRule="exact"/>
      </w:pPr>
      <w:r w:rsidRPr="00FD1C2D">
        <w:t>Obtain serum aminotransferase, alkaline phosphatase (ALP), and total bilirubin levels prior to treatment with VUMERITY and during treatment as clinically indicated. Discontinue VUMERITY if clinically significant liver injury induced by VUMERITY is suspected</w:t>
      </w:r>
    </w:p>
    <w:p w14:paraId="3F384E17" w14:textId="77777777" w:rsidR="00FD1C2D" w:rsidRPr="00FD1C2D" w:rsidRDefault="00FD1C2D" w:rsidP="00FD1C2D">
      <w:pPr>
        <w:pStyle w:val="Footer"/>
        <w:rPr>
          <w:b/>
          <w:bCs/>
        </w:rPr>
      </w:pPr>
      <w:r w:rsidRPr="00FD1C2D">
        <w:rPr>
          <w:b/>
          <w:bCs/>
        </w:rPr>
        <w:t>Flushing</w:t>
      </w:r>
    </w:p>
    <w:p w14:paraId="6E18977A" w14:textId="77777777" w:rsidR="00FD1C2D" w:rsidRPr="00FD1C2D" w:rsidRDefault="00FD1C2D" w:rsidP="00894A2F">
      <w:pPr>
        <w:pStyle w:val="Footer"/>
        <w:numPr>
          <w:ilvl w:val="0"/>
          <w:numId w:val="18"/>
        </w:numPr>
        <w:spacing w:line="-240" w:lineRule="auto"/>
      </w:pPr>
      <w:r w:rsidRPr="00FD1C2D">
        <w:t>VUMERITY may cause flushing (e.g., warmth, redness, itching, and/or burning sensation). In clinical trials of dimethyl fumarate (which has the same active metabolite as VUMERITY), 40% of dimethyl fumarate-treated patients experienced flushing. Flushing symptoms generally began soon after initiating dimethyl fumarate and usually improved or resolved over time. In the majority of patients who experienced flushing, it was mild or moderate in severity. Three percent (3%) of patients discontinued dimethyl fumarate for flushing and &lt;1% had serious flushing symptoms that were not life-threatening but led to hospitalization</w:t>
      </w:r>
    </w:p>
    <w:p w14:paraId="516B69C1" w14:textId="6FC7CD61" w:rsidR="00B666A5" w:rsidRPr="00FD1C2D" w:rsidRDefault="00B666A5" w:rsidP="00B666A5">
      <w:pPr>
        <w:pStyle w:val="Footer"/>
        <w:rPr>
          <w:b/>
          <w:bCs/>
        </w:rPr>
      </w:pPr>
      <w:r>
        <w:rPr>
          <w:b/>
          <w:bCs/>
        </w:rPr>
        <w:t>Serious Gastrointestinal Reactions</w:t>
      </w:r>
    </w:p>
    <w:p w14:paraId="6E4A7A39" w14:textId="0187EF75" w:rsidR="00B666A5" w:rsidRDefault="00B666A5" w:rsidP="00FD1C2D">
      <w:pPr>
        <w:pStyle w:val="Footer"/>
        <w:numPr>
          <w:ilvl w:val="0"/>
          <w:numId w:val="18"/>
        </w:numPr>
        <w:spacing w:line="-240" w:lineRule="auto"/>
      </w:pPr>
      <w:r>
        <w:t>Serious gastrointestinal (GI) reactions, including perforation, ulceration, hemorrhage, and obstruction, some with fatal outcomes, have been reported in the postmarketing setting with the use of fumaric acid esters, including VUMERITY, with or without concomitant aspirin use. The majority of these events have occurred within 6 months of fumaric acid ester treatment initiation. In controlled clinical trials, the incidence of serious gastrointestinal adverse reactions was 1% in patients treated with dimethyl fumarate; these events, none of which were fatal, included vomiting (0.3%) and abdominal pain (0.3%)</w:t>
      </w:r>
    </w:p>
    <w:p w14:paraId="5F95CD34" w14:textId="3886DE64" w:rsidR="00B666A5" w:rsidRPr="00714B7E" w:rsidRDefault="00B666A5" w:rsidP="00714B7E">
      <w:pPr>
        <w:pStyle w:val="Footer"/>
        <w:numPr>
          <w:ilvl w:val="0"/>
          <w:numId w:val="18"/>
        </w:numPr>
        <w:spacing w:line="-240" w:lineRule="auto"/>
      </w:pPr>
      <w:r>
        <w:t>Monitor patients, promptly evaluate, and discontinue VUMERITY for new or worsening severe gastrointestinal signs and symptoms</w:t>
      </w:r>
    </w:p>
    <w:p w14:paraId="40781C54" w14:textId="1933AB97" w:rsidR="00FD1C2D" w:rsidRPr="00FD1C2D" w:rsidRDefault="00FD1C2D" w:rsidP="00FD1C2D">
      <w:pPr>
        <w:pStyle w:val="Footer"/>
        <w:rPr>
          <w:b/>
          <w:bCs/>
        </w:rPr>
      </w:pPr>
      <w:r w:rsidRPr="00FD1C2D">
        <w:rPr>
          <w:b/>
          <w:bCs/>
        </w:rPr>
        <w:t>ADVERSE REACTIONS</w:t>
      </w:r>
    </w:p>
    <w:p w14:paraId="5AE3A9D7" w14:textId="77777777" w:rsidR="00FD1C2D" w:rsidRPr="00FD1C2D" w:rsidRDefault="00FD1C2D" w:rsidP="00894A2F">
      <w:pPr>
        <w:pStyle w:val="Footer"/>
        <w:numPr>
          <w:ilvl w:val="0"/>
          <w:numId w:val="19"/>
        </w:numPr>
        <w:spacing w:line="240" w:lineRule="exact"/>
      </w:pPr>
      <w:r w:rsidRPr="00FD1C2D">
        <w:t>The most common adverse reactions (incidence ≥10% and ≥2% more than placebo) for dimethyl fumarate (which has the same active metabolite as VUMERITY) were flushing, abdominal pain, diarrhea, and nausea</w:t>
      </w:r>
    </w:p>
    <w:p w14:paraId="6AF78973" w14:textId="77777777" w:rsidR="00FD1C2D" w:rsidRPr="00FD1C2D" w:rsidRDefault="00FD1C2D" w:rsidP="00894A2F">
      <w:pPr>
        <w:pStyle w:val="Footer"/>
        <w:numPr>
          <w:ilvl w:val="0"/>
          <w:numId w:val="19"/>
        </w:numPr>
        <w:spacing w:line="240" w:lineRule="exact"/>
      </w:pPr>
      <w:r w:rsidRPr="00FD1C2D">
        <w:t>Gastrointestinal adverse reactions: Dimethyl fumarate caused GI events (e.g., nausea, vomiting, diarrhea, abdominal pain, and dyspepsia). The incidence of GI events was higher early in the course of treatment (primarily in month 1) and usually decreased over time in patients treated with dimethyl fumarate compared with placebo. Four percent (4%) of patients treated with dimethyl fumarate and less than 1% of placebo patients discontinued due to gastrointestinal events. The incidence of serious GI events was 1% in patients treated with dimethyl fumarate</w:t>
      </w:r>
    </w:p>
    <w:p w14:paraId="3560F3A5" w14:textId="77777777" w:rsidR="00FD1C2D" w:rsidRDefault="00FD1C2D" w:rsidP="00894A2F">
      <w:pPr>
        <w:pStyle w:val="Footer"/>
        <w:numPr>
          <w:ilvl w:val="0"/>
          <w:numId w:val="19"/>
        </w:numPr>
        <w:spacing w:line="240" w:lineRule="exact"/>
      </w:pPr>
      <w:r w:rsidRPr="00FD1C2D">
        <w:t>Hepatic transaminases: An increased incidence of elevations of hepatic transaminases in patients treated with dimethyl fumarate was seen primarily during the first six months of treatment and most patients with elevations had levels &lt;3 times the upper limit of normal (ULN) during controlled trials. There were no elevations in transaminases ≥3 times the ULN with concomitant elevations in total bilirubin &gt;2 times the ULN. Discontinuations due to elevated hepatic transaminases were &lt;1% and were similar in patients treated with dimethyl fumarate or placebo</w:t>
      </w:r>
    </w:p>
    <w:p w14:paraId="64FEB9C3" w14:textId="77777777" w:rsidR="00492EE5" w:rsidRDefault="00492EE5" w:rsidP="00492EE5">
      <w:pPr>
        <w:pStyle w:val="Footer"/>
        <w:spacing w:line="240" w:lineRule="exact"/>
      </w:pPr>
    </w:p>
    <w:p w14:paraId="72A827D0" w14:textId="77777777" w:rsidR="00492EE5" w:rsidRDefault="00492EE5" w:rsidP="00492EE5">
      <w:pPr>
        <w:pStyle w:val="Footer"/>
        <w:spacing w:line="240" w:lineRule="exact"/>
      </w:pPr>
    </w:p>
    <w:p w14:paraId="68AA2887" w14:textId="77777777" w:rsidR="00492EE5" w:rsidRDefault="00492EE5" w:rsidP="00492EE5">
      <w:pPr>
        <w:pStyle w:val="Footer"/>
        <w:spacing w:line="240" w:lineRule="exact"/>
      </w:pPr>
    </w:p>
    <w:p w14:paraId="531A417E" w14:textId="77777777" w:rsidR="00492EE5" w:rsidRPr="00FD1C2D" w:rsidRDefault="00492EE5" w:rsidP="00492EE5">
      <w:pPr>
        <w:pStyle w:val="Footer"/>
        <w:ind w:left="360"/>
        <w:jc w:val="center"/>
      </w:pPr>
      <w:r w:rsidRPr="00600B93">
        <w:t xml:space="preserve">Please see Important Safety Information continued on next page and full </w:t>
      </w:r>
      <w:hyperlink r:id="rId7" w:history="1">
        <w:r w:rsidRPr="001A3205">
          <w:rPr>
            <w:rStyle w:val="Hyperlink"/>
            <w:b/>
            <w:bCs/>
          </w:rPr>
          <w:t>Prescribing Information</w:t>
        </w:r>
      </w:hyperlink>
      <w:r w:rsidRPr="00600B93">
        <w:t>.</w:t>
      </w:r>
    </w:p>
    <w:p w14:paraId="295C190D" w14:textId="77777777" w:rsidR="00492EE5" w:rsidRDefault="00492EE5" w:rsidP="00492EE5">
      <w:pPr>
        <w:pStyle w:val="Footer"/>
        <w:spacing w:line="240" w:lineRule="exact"/>
      </w:pPr>
    </w:p>
    <w:p w14:paraId="5533920D" w14:textId="77777777" w:rsidR="00492EE5" w:rsidRDefault="00492EE5" w:rsidP="00492EE5">
      <w:pPr>
        <w:pStyle w:val="Footer"/>
        <w:spacing w:line="240" w:lineRule="exact"/>
      </w:pPr>
    </w:p>
    <w:p w14:paraId="0E6AEFD4" w14:textId="187818AE" w:rsidR="00492EE5" w:rsidRPr="00714B7E" w:rsidRDefault="00492EE5" w:rsidP="00714B7E">
      <w:pPr>
        <w:pStyle w:val="Footer"/>
        <w:rPr>
          <w:b/>
          <w:bCs/>
        </w:rPr>
      </w:pPr>
      <w:r>
        <w:rPr>
          <w:rFonts w:cstheme="minorHAnsi"/>
          <w:b/>
          <w:noProof/>
        </w:rPr>
        <w:lastRenderedPageBreak/>
        <mc:AlternateContent>
          <mc:Choice Requires="wps">
            <w:drawing>
              <wp:anchor distT="0" distB="0" distL="114300" distR="114300" simplePos="0" relativeHeight="251666432" behindDoc="1" locked="0" layoutInCell="1" allowOverlap="1" wp14:anchorId="057C8548" wp14:editId="588F1D00">
                <wp:simplePos x="0" y="0"/>
                <wp:positionH relativeFrom="column">
                  <wp:posOffset>-119270</wp:posOffset>
                </wp:positionH>
                <wp:positionV relativeFrom="paragraph">
                  <wp:posOffset>-39757</wp:posOffset>
                </wp:positionV>
                <wp:extent cx="7143115" cy="2355215"/>
                <wp:effectExtent l="0" t="0" r="0" b="0"/>
                <wp:wrapNone/>
                <wp:docPr id="824706849" name="Rounded Rectangle 824706849"/>
                <wp:cNvGraphicFramePr/>
                <a:graphic xmlns:a="http://schemas.openxmlformats.org/drawingml/2006/main">
                  <a:graphicData uri="http://schemas.microsoft.com/office/word/2010/wordprocessingShape">
                    <wps:wsp>
                      <wps:cNvSpPr/>
                      <wps:spPr>
                        <a:xfrm>
                          <a:off x="0" y="0"/>
                          <a:ext cx="7143115" cy="2355215"/>
                        </a:xfrm>
                        <a:prstGeom prst="roundRect">
                          <a:avLst>
                            <a:gd name="adj" fmla="val 8915"/>
                          </a:avLst>
                        </a:prstGeom>
                        <a:solidFill>
                          <a:schemeClr val="bg1">
                            <a:lumMod val="6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FD6B3" id="Rounded Rectangle 824706849" o:spid="_x0000_s1026" style="position:absolute;margin-left:-9.4pt;margin-top:-3.15pt;width:562.45pt;height:185.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4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" fillcolor="#a5a5a5 [2092]" stroked="f">
                <v:fill opacity="32896f"/>
              </v:roundrect>
            </w:pict>
          </mc:Fallback>
        </mc:AlternateContent>
      </w:r>
      <w:r w:rsidRPr="00FD1C2D">
        <w:rPr>
          <w:b/>
          <w:bCs/>
        </w:rPr>
        <w:t>ADVERSE REACTIONS</w:t>
      </w:r>
      <w:r>
        <w:rPr>
          <w:b/>
          <w:bCs/>
        </w:rPr>
        <w:t xml:space="preserve"> (cont’d)</w:t>
      </w:r>
    </w:p>
    <w:p w14:paraId="636FC5F3" w14:textId="2DA86BDD" w:rsidR="00FD1C2D" w:rsidRPr="00FD1C2D" w:rsidRDefault="00FD1C2D" w:rsidP="00894A2F">
      <w:pPr>
        <w:pStyle w:val="Footer"/>
        <w:numPr>
          <w:ilvl w:val="0"/>
          <w:numId w:val="19"/>
        </w:numPr>
        <w:spacing w:line="240" w:lineRule="exact"/>
      </w:pPr>
      <w:r w:rsidRPr="00FD1C2D">
        <w:t xml:space="preserve">Eosinophilia adverse reactions: A transient increase in mean eosinophil counts was seen during the first </w:t>
      </w:r>
      <w:r w:rsidR="00CC2BEF">
        <w:br/>
      </w:r>
      <w:r w:rsidRPr="00FD1C2D">
        <w:t>2 months of therapy</w:t>
      </w:r>
      <w:r w:rsidR="00264F2E">
        <w:t xml:space="preserve"> </w:t>
      </w:r>
    </w:p>
    <w:p w14:paraId="5209E048" w14:textId="4A95D07A" w:rsidR="00FD1C2D" w:rsidRPr="00FD1C2D" w:rsidRDefault="00FD1C2D" w:rsidP="00FD1C2D">
      <w:pPr>
        <w:pStyle w:val="Footer"/>
        <w:rPr>
          <w:b/>
          <w:bCs/>
        </w:rPr>
      </w:pPr>
      <w:r w:rsidRPr="00FD1C2D">
        <w:rPr>
          <w:b/>
          <w:bCs/>
        </w:rPr>
        <w:t>USE IN SPECIFIC POPULATIONS</w:t>
      </w:r>
    </w:p>
    <w:p w14:paraId="16B8FD1D" w14:textId="29CBD656" w:rsidR="00B666A5" w:rsidRPr="00FD1C2D" w:rsidRDefault="00B666A5" w:rsidP="00B666A5">
      <w:pPr>
        <w:pStyle w:val="Footer"/>
        <w:rPr>
          <w:b/>
          <w:bCs/>
        </w:rPr>
      </w:pPr>
      <w:r>
        <w:rPr>
          <w:b/>
          <w:bCs/>
        </w:rPr>
        <w:t>Pregnancy</w:t>
      </w:r>
    </w:p>
    <w:p w14:paraId="096F7CDC" w14:textId="5256462D" w:rsidR="00B666A5" w:rsidRPr="00714B7E" w:rsidRDefault="00B666A5" w:rsidP="00714B7E">
      <w:pPr>
        <w:pStyle w:val="Footer"/>
        <w:numPr>
          <w:ilvl w:val="0"/>
          <w:numId w:val="20"/>
        </w:numPr>
        <w:spacing w:line="-240" w:lineRule="auto"/>
      </w:pPr>
      <w:r w:rsidRPr="00A47D20">
        <w:t>There is a pregnancy exposure registry that monitors pregnancy outcomes in women exposed to</w:t>
      </w:r>
      <w:r>
        <w:t xml:space="preserve"> VUMERITY</w:t>
      </w:r>
      <w:r w:rsidRPr="00A47D20">
        <w:t xml:space="preserve"> during pregnancy. Encourage patients to enroll by calling </w:t>
      </w:r>
      <w:r w:rsidRPr="005110D9">
        <w:t>1-833-569-2</w:t>
      </w:r>
      <w:r w:rsidR="00492EE5">
        <w:t>63</w:t>
      </w:r>
      <w:r w:rsidRPr="005110D9">
        <w:t>5</w:t>
      </w:r>
      <w:r>
        <w:t xml:space="preserve"> </w:t>
      </w:r>
      <w:r w:rsidRPr="00A47D20">
        <w:t>or visiting</w:t>
      </w:r>
      <w:r>
        <w:t xml:space="preserve"> </w:t>
      </w:r>
      <w:hyperlink r:id="rId8" w:history="1">
        <w:r w:rsidRPr="006D58D7">
          <w:rPr>
            <w:rStyle w:val="Hyperlink"/>
            <w:color w:val="0070C0"/>
          </w:rPr>
          <w:t>www.blossomspregnancyregistry.com</w:t>
        </w:r>
      </w:hyperlink>
    </w:p>
    <w:p w14:paraId="5FEDFE4D" w14:textId="6623E0AF" w:rsidR="00FD1C2D" w:rsidRPr="00FD1C2D" w:rsidRDefault="00FD1C2D" w:rsidP="00FD1C2D">
      <w:pPr>
        <w:pStyle w:val="Footer"/>
        <w:rPr>
          <w:b/>
          <w:bCs/>
        </w:rPr>
      </w:pPr>
      <w:r w:rsidRPr="00FD1C2D">
        <w:rPr>
          <w:b/>
          <w:bCs/>
        </w:rPr>
        <w:t>Renal Impairment</w:t>
      </w:r>
    </w:p>
    <w:p w14:paraId="4841A923" w14:textId="77777777" w:rsidR="00FD1C2D" w:rsidRPr="00FD1C2D" w:rsidRDefault="00FD1C2D" w:rsidP="00894A2F">
      <w:pPr>
        <w:pStyle w:val="Footer"/>
        <w:numPr>
          <w:ilvl w:val="0"/>
          <w:numId w:val="20"/>
        </w:numPr>
        <w:spacing w:line="-240" w:lineRule="auto"/>
      </w:pPr>
      <w:r w:rsidRPr="00FD1C2D">
        <w:t>No dosage adjustment is necessary in patients with mild renal impairment. Because of an increase in the exposure of a major metabolite, use of VUMERITY is not recommended in patients with moderate or severe renal impairment</w:t>
      </w:r>
    </w:p>
    <w:p w14:paraId="0709AC57" w14:textId="2C269354" w:rsidR="0038299D" w:rsidRDefault="0038299D" w:rsidP="00E323E0">
      <w:pPr>
        <w:pStyle w:val="Footer"/>
        <w:rPr>
          <w:rFonts w:cstheme="minorHAnsi"/>
          <w:b/>
        </w:rPr>
      </w:pPr>
    </w:p>
    <w:p w14:paraId="5300FA74" w14:textId="3B52E5EC" w:rsidR="003F75DF" w:rsidRPr="00894A2F" w:rsidRDefault="0038299D" w:rsidP="00894A2F">
      <w:pPr>
        <w:rPr>
          <w:sz w:val="36"/>
          <w:szCs w:val="36"/>
        </w:rPr>
      </w:pPr>
      <w:r w:rsidRPr="00894A2F">
        <w:rPr>
          <w:sz w:val="22"/>
          <w:szCs w:val="22"/>
        </w:rPr>
        <w:t xml:space="preserve">Please see full </w:t>
      </w:r>
      <w:hyperlink r:id="rId9" w:history="1">
        <w:r w:rsidRPr="00714B7E">
          <w:rPr>
            <w:rStyle w:val="Hyperlink"/>
            <w:b/>
            <w:bCs/>
            <w:sz w:val="22"/>
            <w:szCs w:val="22"/>
          </w:rPr>
          <w:t>Prescribing Information</w:t>
        </w:r>
      </w:hyperlink>
      <w:r w:rsidRPr="00894A2F">
        <w:rPr>
          <w:sz w:val="22"/>
          <w:szCs w:val="22"/>
        </w:rPr>
        <w:t>.</w:t>
      </w:r>
    </w:p>
    <w:p w14:paraId="61705485" w14:textId="77777777" w:rsidR="00E323E0" w:rsidRPr="00EA0050" w:rsidRDefault="00E323E0" w:rsidP="00E323E0">
      <w:pPr>
        <w:rPr>
          <w:rFonts w:cstheme="minorHAnsi"/>
          <w:b/>
          <w:sz w:val="21"/>
          <w:szCs w:val="21"/>
        </w:rPr>
      </w:pPr>
    </w:p>
    <w:p w14:paraId="2D675479" w14:textId="7F006AED" w:rsidR="00E323E0" w:rsidRDefault="00E323E0" w:rsidP="00E323E0">
      <w:pPr>
        <w:rPr>
          <w:rFonts w:cstheme="minorHAnsi"/>
          <w:color w:val="7F7F7F" w:themeColor="text1" w:themeTint="80"/>
          <w:sz w:val="18"/>
          <w:szCs w:val="18"/>
          <w:shd w:val="clear" w:color="auto" w:fill="FFFFFF"/>
        </w:rPr>
      </w:pPr>
      <w:r w:rsidRPr="008F0559">
        <w:rPr>
          <w:rFonts w:cstheme="minorHAnsi"/>
          <w:color w:val="7F7F7F" w:themeColor="text1" w:themeTint="80"/>
          <w:sz w:val="18"/>
          <w:szCs w:val="18"/>
          <w:shd w:val="clear" w:color="auto" w:fill="FFFFFF"/>
        </w:rPr>
        <w:t>This sample letter is for informational purposes only, providing an example of language that may be required or helpful when responding to a request from a patient’s health plan. Use of this information does not constitute medical or legal advice and does not guarantee reimbursement for coverage. It is not intended to be a substitute for, or an influence on, the independent clinical decision of the prescribing healthcare professional.</w:t>
      </w:r>
    </w:p>
    <w:p w14:paraId="1D4BFF86" w14:textId="77777777" w:rsidR="007928BA" w:rsidRPr="008F0559" w:rsidRDefault="007928BA" w:rsidP="00E323E0">
      <w:pPr>
        <w:rPr>
          <w:rFonts w:cstheme="minorHAnsi"/>
          <w:color w:val="7F7F7F" w:themeColor="text1" w:themeTint="80"/>
          <w:sz w:val="18"/>
          <w:szCs w:val="18"/>
          <w:shd w:val="clear" w:color="auto" w:fill="FFFFFF"/>
        </w:rPr>
      </w:pPr>
    </w:p>
    <w:p w14:paraId="03234B0B" w14:textId="77777777" w:rsidR="003C5599" w:rsidRDefault="003C5599" w:rsidP="00E323E0">
      <w:pPr>
        <w:pStyle w:val="Footer"/>
        <w:jc w:val="center"/>
        <w:rPr>
          <w:rFonts w:cstheme="minorHAnsi"/>
          <w:color w:val="000000" w:themeColor="text1"/>
        </w:rPr>
      </w:pPr>
    </w:p>
    <w:p w14:paraId="0CA5945B" w14:textId="77777777" w:rsidR="003C5599" w:rsidRDefault="003C5599" w:rsidP="00E323E0">
      <w:pPr>
        <w:pStyle w:val="Footer"/>
        <w:jc w:val="center"/>
        <w:rPr>
          <w:rFonts w:cstheme="minorHAnsi"/>
          <w:color w:val="000000" w:themeColor="text1"/>
        </w:rPr>
      </w:pPr>
    </w:p>
    <w:p w14:paraId="76317AA0" w14:textId="77777777" w:rsidR="003C5599" w:rsidRDefault="003C5599" w:rsidP="00E323E0">
      <w:pPr>
        <w:pStyle w:val="Footer"/>
        <w:jc w:val="center"/>
        <w:rPr>
          <w:rFonts w:cstheme="minorHAnsi"/>
          <w:color w:val="000000" w:themeColor="text1"/>
        </w:rPr>
      </w:pPr>
    </w:p>
    <w:p w14:paraId="4EB182B6" w14:textId="77777777" w:rsidR="003C5599" w:rsidRDefault="003C5599" w:rsidP="00E323E0">
      <w:pPr>
        <w:pStyle w:val="Footer"/>
        <w:jc w:val="center"/>
        <w:rPr>
          <w:rFonts w:cstheme="minorHAnsi"/>
          <w:color w:val="000000" w:themeColor="text1"/>
        </w:rPr>
      </w:pPr>
    </w:p>
    <w:p w14:paraId="41088591" w14:textId="77777777" w:rsidR="003C5599" w:rsidRDefault="003C5599" w:rsidP="00E323E0">
      <w:pPr>
        <w:pStyle w:val="Footer"/>
        <w:jc w:val="center"/>
        <w:rPr>
          <w:rFonts w:cstheme="minorHAnsi"/>
          <w:color w:val="000000" w:themeColor="text1"/>
        </w:rPr>
      </w:pPr>
    </w:p>
    <w:p w14:paraId="2AE64905" w14:textId="77777777" w:rsidR="003C5599" w:rsidRDefault="003C5599" w:rsidP="00E323E0">
      <w:pPr>
        <w:pStyle w:val="Footer"/>
        <w:jc w:val="center"/>
        <w:rPr>
          <w:rFonts w:cstheme="minorHAnsi"/>
          <w:color w:val="000000" w:themeColor="text1"/>
        </w:rPr>
      </w:pPr>
    </w:p>
    <w:p w14:paraId="191A1767" w14:textId="77777777" w:rsidR="003C5599" w:rsidRDefault="003C5599" w:rsidP="00E323E0">
      <w:pPr>
        <w:pStyle w:val="Footer"/>
        <w:jc w:val="center"/>
        <w:rPr>
          <w:rFonts w:cstheme="minorHAnsi"/>
          <w:color w:val="000000" w:themeColor="text1"/>
        </w:rPr>
      </w:pPr>
    </w:p>
    <w:p w14:paraId="437A4566" w14:textId="77777777" w:rsidR="003C5599" w:rsidRDefault="003C5599" w:rsidP="00E323E0">
      <w:pPr>
        <w:pStyle w:val="Footer"/>
        <w:jc w:val="center"/>
        <w:rPr>
          <w:rFonts w:cstheme="minorHAnsi"/>
          <w:color w:val="000000" w:themeColor="text1"/>
        </w:rPr>
      </w:pPr>
    </w:p>
    <w:p w14:paraId="5A314336" w14:textId="77777777" w:rsidR="003C5599" w:rsidRDefault="003C5599" w:rsidP="00E323E0">
      <w:pPr>
        <w:pStyle w:val="Footer"/>
        <w:jc w:val="center"/>
        <w:rPr>
          <w:rFonts w:cstheme="minorHAnsi"/>
          <w:color w:val="000000" w:themeColor="text1"/>
        </w:rPr>
      </w:pPr>
    </w:p>
    <w:p w14:paraId="39E3BF55" w14:textId="77777777" w:rsidR="003C5599" w:rsidRDefault="003C5599" w:rsidP="00E323E0">
      <w:pPr>
        <w:pStyle w:val="Footer"/>
        <w:jc w:val="center"/>
        <w:rPr>
          <w:rFonts w:cstheme="minorHAnsi"/>
          <w:color w:val="000000" w:themeColor="text1"/>
        </w:rPr>
      </w:pPr>
    </w:p>
    <w:p w14:paraId="5663F258" w14:textId="77777777" w:rsidR="003C5599" w:rsidRDefault="003C5599" w:rsidP="00E323E0">
      <w:pPr>
        <w:pStyle w:val="Footer"/>
        <w:jc w:val="center"/>
        <w:rPr>
          <w:rFonts w:cstheme="minorHAnsi"/>
          <w:color w:val="000000" w:themeColor="text1"/>
        </w:rPr>
      </w:pPr>
    </w:p>
    <w:p w14:paraId="00A67502" w14:textId="77777777" w:rsidR="003C5599" w:rsidRDefault="003C5599" w:rsidP="00E323E0">
      <w:pPr>
        <w:pStyle w:val="Footer"/>
        <w:jc w:val="center"/>
        <w:rPr>
          <w:rFonts w:cstheme="minorHAnsi"/>
          <w:color w:val="000000" w:themeColor="text1"/>
        </w:rPr>
      </w:pPr>
    </w:p>
    <w:p w14:paraId="0F1FB6B9" w14:textId="77777777" w:rsidR="003C5599" w:rsidRDefault="003C5599" w:rsidP="00E323E0">
      <w:pPr>
        <w:pStyle w:val="Footer"/>
        <w:jc w:val="center"/>
        <w:rPr>
          <w:rFonts w:cstheme="minorHAnsi"/>
          <w:color w:val="000000" w:themeColor="text1"/>
        </w:rPr>
      </w:pPr>
    </w:p>
    <w:p w14:paraId="0BB3823B" w14:textId="77777777" w:rsidR="003C5599" w:rsidRDefault="003C5599" w:rsidP="00E323E0">
      <w:pPr>
        <w:pStyle w:val="Footer"/>
        <w:jc w:val="center"/>
        <w:rPr>
          <w:rFonts w:cstheme="minorHAnsi"/>
          <w:color w:val="000000" w:themeColor="text1"/>
        </w:rPr>
      </w:pPr>
    </w:p>
    <w:p w14:paraId="573F2946" w14:textId="77777777" w:rsidR="003C5599" w:rsidRDefault="003C5599" w:rsidP="00E323E0">
      <w:pPr>
        <w:pStyle w:val="Footer"/>
        <w:jc w:val="center"/>
        <w:rPr>
          <w:rFonts w:cstheme="minorHAnsi"/>
          <w:color w:val="000000" w:themeColor="text1"/>
        </w:rPr>
      </w:pPr>
    </w:p>
    <w:p w14:paraId="267CB07C" w14:textId="77777777" w:rsidR="003C5599" w:rsidRDefault="003C5599" w:rsidP="00E323E0">
      <w:pPr>
        <w:pStyle w:val="Footer"/>
        <w:jc w:val="center"/>
        <w:rPr>
          <w:rFonts w:cstheme="minorHAnsi"/>
          <w:color w:val="000000" w:themeColor="text1"/>
        </w:rPr>
      </w:pPr>
    </w:p>
    <w:p w14:paraId="30D3350B" w14:textId="77777777" w:rsidR="003C5599" w:rsidRDefault="003C5599" w:rsidP="00E323E0">
      <w:pPr>
        <w:pStyle w:val="Footer"/>
        <w:jc w:val="center"/>
        <w:rPr>
          <w:rFonts w:cstheme="minorHAnsi"/>
          <w:color w:val="000000" w:themeColor="text1"/>
        </w:rPr>
      </w:pPr>
    </w:p>
    <w:p w14:paraId="60F694D1" w14:textId="77777777" w:rsidR="003C5599" w:rsidRDefault="003C5599" w:rsidP="00E323E0">
      <w:pPr>
        <w:pStyle w:val="Footer"/>
        <w:jc w:val="center"/>
        <w:rPr>
          <w:rFonts w:cstheme="minorHAnsi"/>
          <w:color w:val="000000" w:themeColor="text1"/>
        </w:rPr>
      </w:pPr>
    </w:p>
    <w:p w14:paraId="21988253" w14:textId="77777777" w:rsidR="003C5599" w:rsidRDefault="003C5599" w:rsidP="00E323E0">
      <w:pPr>
        <w:pStyle w:val="Footer"/>
        <w:jc w:val="center"/>
        <w:rPr>
          <w:rFonts w:cstheme="minorHAnsi"/>
          <w:color w:val="000000" w:themeColor="text1"/>
        </w:rPr>
      </w:pPr>
    </w:p>
    <w:p w14:paraId="293B8C9B" w14:textId="77777777" w:rsidR="003C5599" w:rsidRDefault="003C5599" w:rsidP="00E323E0">
      <w:pPr>
        <w:pStyle w:val="Footer"/>
        <w:jc w:val="center"/>
        <w:rPr>
          <w:rFonts w:cstheme="minorHAnsi"/>
          <w:color w:val="000000" w:themeColor="text1"/>
        </w:rPr>
      </w:pPr>
    </w:p>
    <w:p w14:paraId="185A607C" w14:textId="77777777" w:rsidR="003C5599" w:rsidRDefault="003C5599" w:rsidP="00E323E0">
      <w:pPr>
        <w:pStyle w:val="Footer"/>
        <w:jc w:val="center"/>
        <w:rPr>
          <w:rFonts w:cstheme="minorHAnsi"/>
          <w:color w:val="000000" w:themeColor="text1"/>
        </w:rPr>
      </w:pPr>
    </w:p>
    <w:p w14:paraId="142B5586" w14:textId="77777777" w:rsidR="003C5599" w:rsidRDefault="003C5599" w:rsidP="00E323E0">
      <w:pPr>
        <w:pStyle w:val="Footer"/>
        <w:jc w:val="center"/>
        <w:rPr>
          <w:rFonts w:cstheme="minorHAnsi"/>
          <w:color w:val="000000" w:themeColor="text1"/>
        </w:rPr>
      </w:pPr>
    </w:p>
    <w:p w14:paraId="1488DD27" w14:textId="77777777" w:rsidR="003C5599" w:rsidRDefault="003C5599" w:rsidP="00E323E0">
      <w:pPr>
        <w:pStyle w:val="Footer"/>
        <w:jc w:val="center"/>
        <w:rPr>
          <w:rFonts w:cstheme="minorHAnsi"/>
          <w:color w:val="000000" w:themeColor="text1"/>
        </w:rPr>
      </w:pPr>
    </w:p>
    <w:p w14:paraId="3F2E0F19" w14:textId="77777777" w:rsidR="003C5599" w:rsidRDefault="003C5599" w:rsidP="00E323E0">
      <w:pPr>
        <w:pStyle w:val="Footer"/>
        <w:jc w:val="center"/>
        <w:rPr>
          <w:rFonts w:cstheme="minorHAnsi"/>
          <w:color w:val="000000" w:themeColor="text1"/>
        </w:rPr>
      </w:pPr>
    </w:p>
    <w:p w14:paraId="317A8BA3" w14:textId="77777777" w:rsidR="003C5599" w:rsidRDefault="003C5599" w:rsidP="00E323E0">
      <w:pPr>
        <w:pStyle w:val="Footer"/>
        <w:jc w:val="center"/>
        <w:rPr>
          <w:rFonts w:cstheme="minorHAnsi"/>
          <w:color w:val="000000" w:themeColor="text1"/>
        </w:rPr>
      </w:pPr>
    </w:p>
    <w:p w14:paraId="02C10963" w14:textId="77777777" w:rsidR="003C5599" w:rsidRDefault="003C5599" w:rsidP="00E323E0">
      <w:pPr>
        <w:pStyle w:val="Footer"/>
        <w:jc w:val="center"/>
        <w:rPr>
          <w:rFonts w:cstheme="minorHAnsi"/>
          <w:color w:val="000000" w:themeColor="text1"/>
        </w:rPr>
      </w:pPr>
    </w:p>
    <w:p w14:paraId="70D73DA2" w14:textId="77777777" w:rsidR="003C5599" w:rsidRDefault="003C5599" w:rsidP="00E323E0">
      <w:pPr>
        <w:pStyle w:val="Footer"/>
        <w:jc w:val="center"/>
        <w:rPr>
          <w:rFonts w:cstheme="minorHAnsi"/>
          <w:color w:val="000000" w:themeColor="text1"/>
        </w:rPr>
      </w:pPr>
    </w:p>
    <w:p w14:paraId="02B8CB98" w14:textId="77777777" w:rsidR="003C5599" w:rsidRDefault="003C5599" w:rsidP="00E323E0">
      <w:pPr>
        <w:pStyle w:val="Footer"/>
        <w:jc w:val="center"/>
        <w:rPr>
          <w:rFonts w:cstheme="minorHAnsi"/>
          <w:color w:val="000000" w:themeColor="text1"/>
        </w:rPr>
      </w:pPr>
    </w:p>
    <w:p w14:paraId="4250C580" w14:textId="77777777" w:rsidR="003C5599" w:rsidRDefault="003C5599" w:rsidP="00E323E0">
      <w:pPr>
        <w:pStyle w:val="Footer"/>
        <w:jc w:val="center"/>
        <w:rPr>
          <w:rFonts w:cstheme="minorHAnsi"/>
          <w:color w:val="000000" w:themeColor="text1"/>
        </w:rPr>
      </w:pPr>
    </w:p>
    <w:p w14:paraId="65520E0E" w14:textId="77777777" w:rsidR="003C5599" w:rsidRDefault="003C5599" w:rsidP="00E323E0">
      <w:pPr>
        <w:pStyle w:val="Footer"/>
        <w:jc w:val="center"/>
        <w:rPr>
          <w:rFonts w:cstheme="minorHAnsi"/>
          <w:color w:val="000000" w:themeColor="text1"/>
        </w:rPr>
      </w:pPr>
    </w:p>
    <w:p w14:paraId="3FC54A4C" w14:textId="77777777" w:rsidR="003C5599" w:rsidRDefault="003C5599" w:rsidP="00E323E0">
      <w:pPr>
        <w:pStyle w:val="Footer"/>
        <w:jc w:val="center"/>
        <w:rPr>
          <w:rFonts w:cstheme="minorHAnsi"/>
          <w:color w:val="000000" w:themeColor="text1"/>
        </w:rPr>
      </w:pPr>
    </w:p>
    <w:p w14:paraId="7CDC40ED" w14:textId="77777777" w:rsidR="003C5599" w:rsidRDefault="003C5599" w:rsidP="00E323E0">
      <w:pPr>
        <w:pStyle w:val="Footer"/>
        <w:jc w:val="center"/>
        <w:rPr>
          <w:rFonts w:cstheme="minorHAnsi"/>
          <w:color w:val="000000" w:themeColor="text1"/>
        </w:rPr>
      </w:pPr>
    </w:p>
    <w:p w14:paraId="140E4942" w14:textId="77777777" w:rsidR="003C5599" w:rsidRDefault="003C5599" w:rsidP="00E323E0">
      <w:pPr>
        <w:pStyle w:val="Footer"/>
        <w:jc w:val="center"/>
        <w:rPr>
          <w:rFonts w:cstheme="minorHAnsi"/>
          <w:color w:val="000000" w:themeColor="text1"/>
        </w:rPr>
      </w:pPr>
    </w:p>
    <w:p w14:paraId="0DB14D23" w14:textId="77777777" w:rsidR="003C5599" w:rsidRDefault="003C5599" w:rsidP="00E323E0">
      <w:pPr>
        <w:pStyle w:val="Footer"/>
        <w:jc w:val="center"/>
        <w:rPr>
          <w:rFonts w:cstheme="minorHAnsi"/>
          <w:color w:val="000000" w:themeColor="text1"/>
        </w:rPr>
      </w:pPr>
    </w:p>
    <w:p w14:paraId="2B221217" w14:textId="7FA6567D" w:rsidR="00B666A5" w:rsidRDefault="00E323E0" w:rsidP="00E323E0">
      <w:pPr>
        <w:pStyle w:val="Footer"/>
        <w:jc w:val="center"/>
        <w:rPr>
          <w:rFonts w:cstheme="minorHAnsi"/>
          <w:color w:val="000000" w:themeColor="text1"/>
        </w:rPr>
      </w:pPr>
      <w:r w:rsidRPr="00DA4E0A">
        <w:rPr>
          <w:rFonts w:cstheme="minorHAnsi"/>
          <w:color w:val="000000" w:themeColor="text1"/>
        </w:rPr>
        <w:t>©202</w:t>
      </w:r>
      <w:r w:rsidR="00B666A5">
        <w:rPr>
          <w:rFonts w:cstheme="minorHAnsi"/>
          <w:color w:val="000000" w:themeColor="text1"/>
        </w:rPr>
        <w:t>4</w:t>
      </w:r>
      <w:r w:rsidRPr="00DA4E0A">
        <w:rPr>
          <w:rFonts w:cstheme="minorHAnsi"/>
          <w:color w:val="000000" w:themeColor="text1"/>
        </w:rPr>
        <w:t xml:space="preserve"> Biogen. </w:t>
      </w:r>
      <w:r w:rsidR="0029767A">
        <w:rPr>
          <w:rFonts w:cstheme="minorHAnsi"/>
          <w:color w:val="000000" w:themeColor="text1"/>
        </w:rPr>
        <w:t xml:space="preserve">  </w:t>
      </w:r>
      <w:r w:rsidRPr="0029767A">
        <w:rPr>
          <w:color w:val="000000" w:themeColor="text1"/>
        </w:rPr>
        <w:t xml:space="preserve">All rights reserved. </w:t>
      </w:r>
      <w:r w:rsidR="0029767A">
        <w:rPr>
          <w:color w:val="000000" w:themeColor="text1"/>
        </w:rPr>
        <w:t xml:space="preserve"> </w:t>
      </w:r>
      <w:r w:rsidRPr="0029767A">
        <w:rPr>
          <w:color w:val="000000" w:themeColor="text1"/>
        </w:rPr>
        <w:t xml:space="preserve"> 0</w:t>
      </w:r>
      <w:r w:rsidR="00B666A5">
        <w:rPr>
          <w:color w:val="000000" w:themeColor="text1"/>
        </w:rPr>
        <w:t>1</w:t>
      </w:r>
      <w:r w:rsidRPr="0029767A">
        <w:rPr>
          <w:color w:val="000000" w:themeColor="text1"/>
        </w:rPr>
        <w:t>/2</w:t>
      </w:r>
      <w:r w:rsidR="00B666A5">
        <w:rPr>
          <w:color w:val="000000" w:themeColor="text1"/>
        </w:rPr>
        <w:t>4</w:t>
      </w:r>
      <w:r w:rsidRPr="0029767A">
        <w:rPr>
          <w:color w:val="000000" w:themeColor="text1"/>
        </w:rPr>
        <w:t xml:space="preserve">   </w:t>
      </w:r>
      <w:r w:rsidRPr="00DA4E0A">
        <w:rPr>
          <w:rFonts w:cstheme="minorHAnsi"/>
          <w:color w:val="000000" w:themeColor="text1"/>
        </w:rPr>
        <w:t>VUM-US-0154</w:t>
      </w:r>
      <w:r w:rsidR="00E5366B">
        <w:rPr>
          <w:rFonts w:cstheme="minorHAnsi"/>
          <w:color w:val="000000" w:themeColor="text1"/>
        </w:rPr>
        <w:t xml:space="preserve"> </w:t>
      </w:r>
      <w:r w:rsidR="00174A8D">
        <w:rPr>
          <w:rFonts w:cstheme="minorHAnsi"/>
          <w:color w:val="000000" w:themeColor="text1"/>
        </w:rPr>
        <w:t>v</w:t>
      </w:r>
      <w:r w:rsidR="00B666A5">
        <w:rPr>
          <w:rFonts w:cstheme="minorHAnsi"/>
          <w:color w:val="000000" w:themeColor="text1"/>
        </w:rPr>
        <w:t>3</w:t>
      </w:r>
    </w:p>
    <w:p w14:paraId="70207DD8" w14:textId="04B4A188" w:rsidR="00E323E0" w:rsidRPr="00B666A5" w:rsidRDefault="00B666A5" w:rsidP="00714B7E">
      <w:pPr>
        <w:rPr>
          <w:rFonts w:cstheme="minorHAnsi"/>
          <w:color w:val="000000" w:themeColor="text1"/>
        </w:rPr>
      </w:pPr>
      <w:r>
        <w:rPr>
          <w:rFonts w:cstheme="minorHAnsi"/>
          <w:color w:val="000000" w:themeColor="text1"/>
        </w:rPr>
        <w:br w:type="page"/>
      </w:r>
    </w:p>
    <w:p w14:paraId="6F41B777" w14:textId="77777777" w:rsidR="00BB2BBE" w:rsidRDefault="00BB2BBE" w:rsidP="00BB2BBE">
      <w:pPr>
        <w:rPr>
          <w:rFonts w:eastAsia="Times New Roman" w:cstheme="minorHAnsi"/>
          <w:color w:val="FF40FF"/>
        </w:rPr>
      </w:pPr>
      <w:r w:rsidRPr="007576B6">
        <w:rPr>
          <w:rFonts w:cstheme="minorHAnsi"/>
          <w:sz w:val="22"/>
          <w:szCs w:val="22"/>
          <w:highlight w:val="lightGray"/>
        </w:rPr>
        <w:lastRenderedPageBreak/>
        <w:fldChar w:fldCharType="begin">
          <w:ffData>
            <w:name w:val=""/>
            <w:enabled/>
            <w:calcOnExit w:val="0"/>
            <w:textInput>
              <w:default w:val="[Insert Date]"/>
            </w:textInput>
          </w:ffData>
        </w:fldChar>
      </w:r>
      <w:r w:rsidRPr="007576B6">
        <w:rPr>
          <w:rFonts w:cstheme="minorHAnsi"/>
          <w:sz w:val="22"/>
          <w:szCs w:val="22"/>
          <w:highlight w:val="lightGray"/>
        </w:rPr>
        <w:instrText xml:space="preserve"> FORMTEXT </w:instrText>
      </w:r>
      <w:r w:rsidRPr="007576B6">
        <w:rPr>
          <w:rFonts w:cstheme="minorHAnsi"/>
          <w:sz w:val="22"/>
          <w:szCs w:val="22"/>
          <w:highlight w:val="lightGray"/>
        </w:rPr>
      </w:r>
      <w:r w:rsidRPr="007576B6">
        <w:rPr>
          <w:rFonts w:cstheme="minorHAnsi"/>
          <w:sz w:val="22"/>
          <w:szCs w:val="22"/>
          <w:highlight w:val="lightGray"/>
        </w:rPr>
        <w:fldChar w:fldCharType="separate"/>
      </w:r>
      <w:r w:rsidRPr="007576B6">
        <w:rPr>
          <w:rFonts w:cstheme="minorHAnsi"/>
          <w:noProof/>
          <w:sz w:val="22"/>
          <w:szCs w:val="22"/>
          <w:highlight w:val="lightGray"/>
        </w:rPr>
        <w:t>[Insert Date]</w:t>
      </w:r>
      <w:r w:rsidRPr="007576B6">
        <w:rPr>
          <w:rFonts w:cstheme="minorHAnsi"/>
          <w:sz w:val="22"/>
          <w:szCs w:val="22"/>
          <w:highlight w:val="lightGray"/>
        </w:rPr>
        <w:fldChar w:fldCharType="end"/>
      </w:r>
    </w:p>
    <w:p w14:paraId="47284485" w14:textId="77777777" w:rsidR="00BB2BBE" w:rsidRPr="007576B6" w:rsidRDefault="00BB2BBE" w:rsidP="00BB2BBE">
      <w:pPr>
        <w:rPr>
          <w:rFonts w:eastAsia="Times New Roman" w:cstheme="minorHAnsi"/>
          <w:color w:val="FF40FF"/>
          <w:sz w:val="22"/>
          <w:szCs w:val="22"/>
        </w:rPr>
      </w:pPr>
    </w:p>
    <w:p w14:paraId="6ED9788E" w14:textId="77777777" w:rsidR="00BB2BBE" w:rsidRPr="007576B6" w:rsidRDefault="00BB2BBE" w:rsidP="00BB2BBE">
      <w:pPr>
        <w:spacing w:after="200"/>
        <w:rPr>
          <w:rFonts w:cstheme="minorHAnsi"/>
          <w:sz w:val="22"/>
          <w:szCs w:val="22"/>
        </w:rPr>
      </w:pPr>
      <w:r w:rsidRPr="007576B6">
        <w:rPr>
          <w:rFonts w:cstheme="minorHAnsi"/>
          <w:sz w:val="22"/>
          <w:szCs w:val="22"/>
        </w:rPr>
        <w:t>VUMERITY® (diroximel fumarate) Letter of Appeal</w:t>
      </w:r>
    </w:p>
    <w:p w14:paraId="27F2E26A" w14:textId="77777777" w:rsidR="00BB2BBE" w:rsidRPr="007576B6" w:rsidRDefault="00BB2BBE" w:rsidP="00BB2BBE">
      <w:pPr>
        <w:spacing w:after="200"/>
        <w:rPr>
          <w:rFonts w:cstheme="minorHAnsi"/>
          <w:sz w:val="22"/>
          <w:szCs w:val="22"/>
        </w:rPr>
      </w:pPr>
      <w:r w:rsidRPr="007576B6">
        <w:rPr>
          <w:rFonts w:cstheme="minorHAnsi"/>
          <w:sz w:val="22"/>
          <w:szCs w:val="22"/>
        </w:rPr>
        <w:t xml:space="preserve">RE: </w:t>
      </w:r>
      <w:r w:rsidRPr="007576B6">
        <w:rPr>
          <w:rFonts w:cstheme="minorHAnsi"/>
          <w:sz w:val="22"/>
          <w:szCs w:val="22"/>
          <w:highlight w:val="lightGray"/>
        </w:rPr>
        <w:fldChar w:fldCharType="begin">
          <w:ffData>
            <w:name w:val="Text15"/>
            <w:enabled/>
            <w:calcOnExit w:val="0"/>
            <w:textInput>
              <w:default w:val="[Patient Name]"/>
            </w:textInput>
          </w:ffData>
        </w:fldChar>
      </w:r>
      <w:bookmarkStart w:id="0" w:name="Text15"/>
      <w:r w:rsidRPr="007576B6">
        <w:rPr>
          <w:rFonts w:cstheme="minorHAnsi"/>
          <w:sz w:val="22"/>
          <w:szCs w:val="22"/>
          <w:highlight w:val="lightGray"/>
        </w:rPr>
        <w:instrText xml:space="preserve"> FORMTEXT </w:instrText>
      </w:r>
      <w:r w:rsidRPr="007576B6">
        <w:rPr>
          <w:rFonts w:cstheme="minorHAnsi"/>
          <w:sz w:val="22"/>
          <w:szCs w:val="22"/>
          <w:highlight w:val="lightGray"/>
        </w:rPr>
      </w:r>
      <w:r w:rsidRPr="007576B6">
        <w:rPr>
          <w:rFonts w:cstheme="minorHAnsi"/>
          <w:sz w:val="22"/>
          <w:szCs w:val="22"/>
          <w:highlight w:val="lightGray"/>
        </w:rPr>
        <w:fldChar w:fldCharType="separate"/>
      </w:r>
      <w:r w:rsidRPr="007576B6">
        <w:rPr>
          <w:rFonts w:cstheme="minorHAnsi"/>
          <w:noProof/>
          <w:sz w:val="22"/>
          <w:szCs w:val="22"/>
          <w:highlight w:val="lightGray"/>
        </w:rPr>
        <w:t>[Patient Name]</w:t>
      </w:r>
      <w:r w:rsidRPr="007576B6">
        <w:rPr>
          <w:rFonts w:cstheme="minorHAnsi"/>
          <w:sz w:val="22"/>
          <w:szCs w:val="22"/>
          <w:highlight w:val="lightGray"/>
        </w:rPr>
        <w:fldChar w:fldCharType="end"/>
      </w:r>
      <w:bookmarkEnd w:id="0"/>
    </w:p>
    <w:p w14:paraId="2BE4B5AE" w14:textId="38E557F6" w:rsidR="00BB2BBE" w:rsidRPr="007576B6" w:rsidRDefault="00BB2BBE" w:rsidP="00BB2BBE">
      <w:pPr>
        <w:spacing w:after="200"/>
        <w:rPr>
          <w:rFonts w:cstheme="minorHAnsi"/>
          <w:sz w:val="22"/>
          <w:szCs w:val="22"/>
        </w:rPr>
      </w:pPr>
      <w:r w:rsidRPr="007576B6">
        <w:rPr>
          <w:rFonts w:cstheme="minorHAnsi"/>
          <w:sz w:val="22"/>
          <w:szCs w:val="22"/>
          <w:highlight w:val="lightGray"/>
        </w:rPr>
        <w:fldChar w:fldCharType="begin">
          <w:ffData>
            <w:name w:val="Text16"/>
            <w:enabled/>
            <w:calcOnExit w:val="0"/>
            <w:textInput>
              <w:default w:val="[Patient Insurance ID Number]"/>
            </w:textInput>
          </w:ffData>
        </w:fldChar>
      </w:r>
      <w:bookmarkStart w:id="1" w:name="Text16"/>
      <w:r w:rsidRPr="007576B6">
        <w:rPr>
          <w:rFonts w:cstheme="minorHAnsi"/>
          <w:sz w:val="22"/>
          <w:szCs w:val="22"/>
          <w:highlight w:val="lightGray"/>
        </w:rPr>
        <w:instrText xml:space="preserve"> FORMTEXT </w:instrText>
      </w:r>
      <w:r w:rsidRPr="007576B6">
        <w:rPr>
          <w:rFonts w:cstheme="minorHAnsi"/>
          <w:sz w:val="22"/>
          <w:szCs w:val="22"/>
          <w:highlight w:val="lightGray"/>
        </w:rPr>
      </w:r>
      <w:r w:rsidRPr="007576B6">
        <w:rPr>
          <w:rFonts w:cstheme="minorHAnsi"/>
          <w:sz w:val="22"/>
          <w:szCs w:val="22"/>
          <w:highlight w:val="lightGray"/>
        </w:rPr>
        <w:fldChar w:fldCharType="separate"/>
      </w:r>
      <w:r w:rsidRPr="007576B6">
        <w:rPr>
          <w:rFonts w:cstheme="minorHAnsi"/>
          <w:noProof/>
          <w:sz w:val="22"/>
          <w:szCs w:val="22"/>
          <w:highlight w:val="lightGray"/>
        </w:rPr>
        <w:t>[Patient Insurance ID Number]</w:t>
      </w:r>
      <w:r w:rsidRPr="007576B6">
        <w:rPr>
          <w:rFonts w:cstheme="minorHAnsi"/>
          <w:sz w:val="22"/>
          <w:szCs w:val="22"/>
          <w:highlight w:val="lightGray"/>
        </w:rPr>
        <w:fldChar w:fldCharType="end"/>
      </w:r>
      <w:bookmarkEnd w:id="1"/>
      <w:r w:rsidR="008A336F" w:rsidRPr="008A336F">
        <w:rPr>
          <w:noProof/>
        </w:rPr>
        <w:t xml:space="preserve"> </w:t>
      </w:r>
    </w:p>
    <w:p w14:paraId="001A9E65" w14:textId="77777777" w:rsidR="00BB2BBE" w:rsidRPr="007576B6" w:rsidRDefault="00BB2BBE" w:rsidP="00BB2BBE">
      <w:pPr>
        <w:spacing w:after="200"/>
        <w:rPr>
          <w:rFonts w:cstheme="minorHAnsi"/>
          <w:sz w:val="22"/>
          <w:szCs w:val="22"/>
        </w:rPr>
      </w:pPr>
      <w:r w:rsidRPr="007576B6">
        <w:rPr>
          <w:rFonts w:cstheme="minorHAnsi"/>
          <w:sz w:val="22"/>
          <w:szCs w:val="22"/>
          <w:highlight w:val="lightGray"/>
        </w:rPr>
        <w:fldChar w:fldCharType="begin">
          <w:ffData>
            <w:name w:val="Text14"/>
            <w:enabled/>
            <w:calcOnExit w:val="0"/>
            <w:textInput>
              <w:default w:val="[Patient Date of Birth]"/>
            </w:textInput>
          </w:ffData>
        </w:fldChar>
      </w:r>
      <w:bookmarkStart w:id="2" w:name="Text14"/>
      <w:r w:rsidRPr="007576B6">
        <w:rPr>
          <w:rFonts w:cstheme="minorHAnsi"/>
          <w:sz w:val="22"/>
          <w:szCs w:val="22"/>
          <w:highlight w:val="lightGray"/>
        </w:rPr>
        <w:instrText xml:space="preserve"> FORMTEXT </w:instrText>
      </w:r>
      <w:r w:rsidRPr="007576B6">
        <w:rPr>
          <w:rFonts w:cstheme="minorHAnsi"/>
          <w:sz w:val="22"/>
          <w:szCs w:val="22"/>
          <w:highlight w:val="lightGray"/>
        </w:rPr>
      </w:r>
      <w:r w:rsidRPr="007576B6">
        <w:rPr>
          <w:rFonts w:cstheme="minorHAnsi"/>
          <w:sz w:val="22"/>
          <w:szCs w:val="22"/>
          <w:highlight w:val="lightGray"/>
        </w:rPr>
        <w:fldChar w:fldCharType="separate"/>
      </w:r>
      <w:r w:rsidRPr="007576B6">
        <w:rPr>
          <w:rFonts w:cstheme="minorHAnsi"/>
          <w:noProof/>
          <w:sz w:val="22"/>
          <w:szCs w:val="22"/>
          <w:highlight w:val="lightGray"/>
        </w:rPr>
        <w:t>[Patient Date of Birth]</w:t>
      </w:r>
      <w:r w:rsidRPr="007576B6">
        <w:rPr>
          <w:rFonts w:cstheme="minorHAnsi"/>
          <w:sz w:val="22"/>
          <w:szCs w:val="22"/>
          <w:highlight w:val="lightGray"/>
        </w:rPr>
        <w:fldChar w:fldCharType="end"/>
      </w:r>
      <w:bookmarkEnd w:id="2"/>
    </w:p>
    <w:p w14:paraId="183B356D" w14:textId="5EBD3887" w:rsidR="00BB2BBE" w:rsidRPr="007576B6" w:rsidRDefault="00BB2BBE" w:rsidP="00BB2BBE">
      <w:pPr>
        <w:spacing w:after="200"/>
        <w:rPr>
          <w:rFonts w:cstheme="minorHAnsi"/>
          <w:sz w:val="22"/>
          <w:szCs w:val="22"/>
        </w:rPr>
      </w:pPr>
      <w:r w:rsidRPr="007576B6">
        <w:rPr>
          <w:rFonts w:cstheme="minorHAnsi"/>
          <w:sz w:val="22"/>
          <w:szCs w:val="22"/>
          <w:highlight w:val="lightGray"/>
        </w:rPr>
        <w:t xml:space="preserve">[Reference </w:t>
      </w:r>
      <w:r w:rsidR="007525F6">
        <w:rPr>
          <w:rFonts w:cstheme="minorHAnsi"/>
          <w:sz w:val="22"/>
          <w:szCs w:val="22"/>
          <w:highlight w:val="lightGray"/>
        </w:rPr>
        <w:t>N</w:t>
      </w:r>
      <w:r w:rsidR="007525F6" w:rsidRPr="007576B6">
        <w:rPr>
          <w:rFonts w:cstheme="minorHAnsi"/>
          <w:sz w:val="22"/>
          <w:szCs w:val="22"/>
          <w:highlight w:val="lightGray"/>
        </w:rPr>
        <w:t>umber</w:t>
      </w:r>
      <w:r w:rsidRPr="007576B6">
        <w:rPr>
          <w:rFonts w:cstheme="minorHAnsi"/>
          <w:sz w:val="22"/>
          <w:szCs w:val="22"/>
          <w:highlight w:val="lightGray"/>
        </w:rPr>
        <w:t>]</w:t>
      </w:r>
      <w:r w:rsidR="002D1AFB">
        <w:rPr>
          <w:rFonts w:cstheme="minorHAnsi"/>
          <w:sz w:val="22"/>
          <w:szCs w:val="22"/>
        </w:rPr>
        <w:t xml:space="preserve"> </w:t>
      </w:r>
    </w:p>
    <w:p w14:paraId="327D5AEF" w14:textId="31F22A34" w:rsidR="00BB2BBE" w:rsidRPr="007576B6" w:rsidRDefault="00BB2BBE" w:rsidP="00BB2BBE">
      <w:pPr>
        <w:spacing w:after="200"/>
        <w:rPr>
          <w:rFonts w:cstheme="minorHAnsi"/>
          <w:sz w:val="22"/>
          <w:szCs w:val="22"/>
        </w:rPr>
      </w:pPr>
      <w:r w:rsidRPr="007576B6">
        <w:rPr>
          <w:rFonts w:cstheme="minorHAnsi"/>
          <w:sz w:val="22"/>
          <w:szCs w:val="22"/>
        </w:rPr>
        <w:t xml:space="preserve">Dear </w:t>
      </w:r>
      <w:r w:rsidRPr="007576B6">
        <w:rPr>
          <w:rFonts w:cstheme="minorHAnsi"/>
          <w:sz w:val="22"/>
          <w:szCs w:val="22"/>
          <w:highlight w:val="lightGray"/>
        </w:rPr>
        <w:fldChar w:fldCharType="begin">
          <w:ffData>
            <w:name w:val="Text17"/>
            <w:enabled/>
            <w:calcOnExit w:val="0"/>
            <w:textInput>
              <w:default w:val="[Health Plan Contact Name]"/>
            </w:textInput>
          </w:ffData>
        </w:fldChar>
      </w:r>
      <w:bookmarkStart w:id="3" w:name="Text17"/>
      <w:r w:rsidRPr="007576B6">
        <w:rPr>
          <w:rFonts w:cstheme="minorHAnsi"/>
          <w:sz w:val="22"/>
          <w:szCs w:val="22"/>
          <w:highlight w:val="lightGray"/>
        </w:rPr>
        <w:instrText xml:space="preserve"> FORMTEXT </w:instrText>
      </w:r>
      <w:r w:rsidRPr="007576B6">
        <w:rPr>
          <w:rFonts w:cstheme="minorHAnsi"/>
          <w:sz w:val="22"/>
          <w:szCs w:val="22"/>
          <w:highlight w:val="lightGray"/>
        </w:rPr>
      </w:r>
      <w:r w:rsidRPr="007576B6">
        <w:rPr>
          <w:rFonts w:cstheme="minorHAnsi"/>
          <w:sz w:val="22"/>
          <w:szCs w:val="22"/>
          <w:highlight w:val="lightGray"/>
        </w:rPr>
        <w:fldChar w:fldCharType="separate"/>
      </w:r>
      <w:r w:rsidRPr="007576B6">
        <w:rPr>
          <w:rFonts w:cstheme="minorHAnsi"/>
          <w:noProof/>
          <w:sz w:val="22"/>
          <w:szCs w:val="22"/>
          <w:highlight w:val="lightGray"/>
        </w:rPr>
        <w:t>[Health Plan Contact Name]</w:t>
      </w:r>
      <w:r w:rsidRPr="007576B6">
        <w:rPr>
          <w:rFonts w:cstheme="minorHAnsi"/>
          <w:sz w:val="22"/>
          <w:szCs w:val="22"/>
          <w:highlight w:val="lightGray"/>
        </w:rPr>
        <w:fldChar w:fldCharType="end"/>
      </w:r>
      <w:bookmarkEnd w:id="3"/>
      <w:r w:rsidRPr="007576B6">
        <w:rPr>
          <w:rFonts w:cstheme="minorHAnsi"/>
          <w:sz w:val="22"/>
          <w:szCs w:val="22"/>
        </w:rPr>
        <w:t>:</w:t>
      </w:r>
    </w:p>
    <w:p w14:paraId="1FE62042" w14:textId="11AC30FD" w:rsidR="008A6966" w:rsidRDefault="00BB2BBE" w:rsidP="00BB2BBE">
      <w:pPr>
        <w:tabs>
          <w:tab w:val="left" w:pos="3567"/>
        </w:tabs>
        <w:spacing w:after="200"/>
        <w:rPr>
          <w:rFonts w:cstheme="minorHAnsi"/>
          <w:sz w:val="22"/>
          <w:szCs w:val="22"/>
        </w:rPr>
      </w:pPr>
      <w:r w:rsidRPr="007576B6">
        <w:rPr>
          <w:rFonts w:cstheme="minorHAnsi"/>
          <w:sz w:val="22"/>
          <w:szCs w:val="22"/>
        </w:rPr>
        <w:t xml:space="preserve">I am writing this letter on behalf of </w:t>
      </w:r>
      <w:r w:rsidRPr="007576B6">
        <w:rPr>
          <w:rFonts w:cstheme="minorHAnsi"/>
          <w:sz w:val="22"/>
          <w:szCs w:val="22"/>
          <w:highlight w:val="lightGray"/>
        </w:rPr>
        <w:t>[Patient Name]</w:t>
      </w:r>
      <w:r w:rsidRPr="007576B6">
        <w:rPr>
          <w:rFonts w:cstheme="minorHAnsi"/>
          <w:sz w:val="22"/>
          <w:szCs w:val="22"/>
        </w:rPr>
        <w:t xml:space="preserve"> to </w:t>
      </w:r>
      <w:r w:rsidR="00AC1B75">
        <w:rPr>
          <w:rFonts w:cstheme="minorHAnsi"/>
          <w:sz w:val="22"/>
          <w:szCs w:val="22"/>
        </w:rPr>
        <w:t>appeal</w:t>
      </w:r>
      <w:r w:rsidRPr="007576B6">
        <w:rPr>
          <w:rFonts w:cstheme="minorHAnsi"/>
          <w:sz w:val="22"/>
          <w:szCs w:val="22"/>
        </w:rPr>
        <w:t xml:space="preserve"> a </w:t>
      </w:r>
      <w:r w:rsidR="00AC1B75">
        <w:rPr>
          <w:rFonts w:cstheme="minorHAnsi"/>
          <w:sz w:val="22"/>
          <w:szCs w:val="22"/>
        </w:rPr>
        <w:t xml:space="preserve">coverage </w:t>
      </w:r>
      <w:r w:rsidRPr="007576B6">
        <w:rPr>
          <w:rFonts w:cstheme="minorHAnsi"/>
          <w:sz w:val="22"/>
          <w:szCs w:val="22"/>
        </w:rPr>
        <w:t>denial for VUMERITY</w:t>
      </w:r>
      <w:r w:rsidR="00A376F2">
        <w:rPr>
          <w:rFonts w:cstheme="minorHAnsi"/>
          <w:sz w:val="22"/>
          <w:szCs w:val="22"/>
        </w:rPr>
        <w:t xml:space="preserve">® </w:t>
      </w:r>
      <w:r w:rsidR="00173A6B">
        <w:rPr>
          <w:rFonts w:cstheme="minorHAnsi"/>
          <w:sz w:val="22"/>
          <w:szCs w:val="22"/>
        </w:rPr>
        <w:t>(diroximel fumarate)</w:t>
      </w:r>
      <w:r w:rsidRPr="007576B6">
        <w:rPr>
          <w:rFonts w:cstheme="minorHAnsi"/>
          <w:sz w:val="22"/>
          <w:szCs w:val="22"/>
        </w:rPr>
        <w:t xml:space="preserve"> that was issued on </w:t>
      </w:r>
      <w:r w:rsidRPr="007576B6">
        <w:rPr>
          <w:rFonts w:cstheme="minorHAnsi"/>
          <w:sz w:val="22"/>
          <w:szCs w:val="22"/>
          <w:highlight w:val="lightGray"/>
        </w:rPr>
        <w:t>[MM/DD/YY]</w:t>
      </w:r>
      <w:r w:rsidRPr="007576B6">
        <w:rPr>
          <w:rFonts w:cstheme="minorHAnsi"/>
          <w:sz w:val="22"/>
          <w:szCs w:val="22"/>
        </w:rPr>
        <w:t>. VUMERITY is a United States Food and Drug Administration (FDA)-approved therapy indicated for the treatment of patients with relapsing forms of multiple sclerosis (RMS), to include clinically isolated syndrome, relapsing-remitting disease, and active secondary progressive disease, in adults.</w:t>
      </w:r>
      <w:r w:rsidRPr="007576B6">
        <w:rPr>
          <w:rFonts w:cstheme="minorHAnsi"/>
          <w:sz w:val="22"/>
          <w:szCs w:val="22"/>
          <w:vertAlign w:val="superscript"/>
        </w:rPr>
        <w:t>1</w:t>
      </w:r>
      <w:r w:rsidRPr="007576B6">
        <w:rPr>
          <w:rFonts w:cstheme="minorHAnsi"/>
          <w:sz w:val="22"/>
          <w:szCs w:val="22"/>
        </w:rPr>
        <w:t xml:space="preserve"> The full prescribing information for VUMERITY can be accessed at </w:t>
      </w:r>
      <w:r w:rsidR="002D1AFB" w:rsidRPr="00A376F2">
        <w:rPr>
          <w:rFonts w:cstheme="minorHAnsi"/>
          <w:sz w:val="22"/>
          <w:szCs w:val="22"/>
        </w:rPr>
        <w:t>www.vumerityhcp.com/pi</w:t>
      </w:r>
      <w:r w:rsidRPr="007576B6">
        <w:rPr>
          <w:rFonts w:cstheme="minorHAnsi"/>
          <w:sz w:val="22"/>
          <w:szCs w:val="22"/>
        </w:rPr>
        <w:t xml:space="preserve">. </w:t>
      </w:r>
    </w:p>
    <w:p w14:paraId="0E165DD9" w14:textId="2F05A0F6" w:rsidR="00BB2BBE" w:rsidRPr="007576B6" w:rsidRDefault="00BB2BBE" w:rsidP="00BB2BBE">
      <w:pPr>
        <w:tabs>
          <w:tab w:val="left" w:pos="3567"/>
        </w:tabs>
        <w:spacing w:after="200"/>
        <w:rPr>
          <w:rFonts w:cstheme="minorHAnsi"/>
          <w:sz w:val="22"/>
          <w:szCs w:val="22"/>
        </w:rPr>
      </w:pPr>
      <w:r w:rsidRPr="007576B6">
        <w:rPr>
          <w:rFonts w:cstheme="minorHAnsi"/>
          <w:sz w:val="22"/>
          <w:szCs w:val="22"/>
        </w:rPr>
        <w:t>The reason</w:t>
      </w:r>
      <w:r w:rsidRPr="007576B6">
        <w:rPr>
          <w:rFonts w:cstheme="minorHAnsi"/>
          <w:sz w:val="22"/>
          <w:szCs w:val="22"/>
          <w:highlight w:val="lightGray"/>
        </w:rPr>
        <w:t>[s]</w:t>
      </w:r>
      <w:r w:rsidRPr="007576B6">
        <w:rPr>
          <w:rFonts w:cstheme="minorHAnsi"/>
          <w:sz w:val="22"/>
          <w:szCs w:val="22"/>
        </w:rPr>
        <w:t xml:space="preserve"> for denial of VUMERITY </w:t>
      </w:r>
      <w:r w:rsidRPr="007576B6">
        <w:rPr>
          <w:rFonts w:cstheme="minorHAnsi"/>
          <w:sz w:val="22"/>
          <w:szCs w:val="22"/>
          <w:highlight w:val="lightGray"/>
        </w:rPr>
        <w:t>[is/are]</w:t>
      </w:r>
      <w:r w:rsidRPr="007576B6">
        <w:rPr>
          <w:rFonts w:cstheme="minorHAnsi"/>
          <w:sz w:val="22"/>
          <w:szCs w:val="22"/>
        </w:rPr>
        <w:t xml:space="preserve"> stated as </w:t>
      </w:r>
      <w:r w:rsidRPr="007576B6">
        <w:rPr>
          <w:rFonts w:cstheme="minorHAnsi"/>
          <w:sz w:val="22"/>
          <w:szCs w:val="22"/>
          <w:highlight w:val="lightGray"/>
        </w:rPr>
        <w:t>[reason(s) for denial]</w:t>
      </w:r>
      <w:r w:rsidRPr="007576B6">
        <w:rPr>
          <w:rFonts w:cstheme="minorHAnsi"/>
          <w:sz w:val="22"/>
          <w:szCs w:val="22"/>
        </w:rPr>
        <w:t xml:space="preserve">. </w:t>
      </w:r>
      <w:r w:rsidR="008A6966">
        <w:rPr>
          <w:rFonts w:cstheme="minorHAnsi"/>
          <w:sz w:val="22"/>
          <w:szCs w:val="22"/>
        </w:rPr>
        <w:t xml:space="preserve">I disagree with this decision because </w:t>
      </w:r>
      <w:r w:rsidR="008A6966" w:rsidRPr="00C3135D">
        <w:rPr>
          <w:rFonts w:cstheme="minorHAnsi"/>
          <w:sz w:val="22"/>
          <w:szCs w:val="22"/>
          <w:highlight w:val="lightGray"/>
        </w:rPr>
        <w:t>[reason</w:t>
      </w:r>
      <w:r w:rsidR="002F28C3" w:rsidRPr="00C3135D">
        <w:rPr>
          <w:rFonts w:cstheme="minorHAnsi"/>
          <w:sz w:val="22"/>
          <w:szCs w:val="22"/>
          <w:highlight w:val="lightGray"/>
        </w:rPr>
        <w:t>(</w:t>
      </w:r>
      <w:r w:rsidR="008A6966" w:rsidRPr="00C3135D">
        <w:rPr>
          <w:rFonts w:cstheme="minorHAnsi"/>
          <w:sz w:val="22"/>
          <w:szCs w:val="22"/>
          <w:highlight w:val="lightGray"/>
        </w:rPr>
        <w:t>s</w:t>
      </w:r>
      <w:r w:rsidR="002F28C3" w:rsidRPr="00C3135D">
        <w:rPr>
          <w:rFonts w:cstheme="minorHAnsi"/>
          <w:sz w:val="22"/>
          <w:szCs w:val="22"/>
          <w:highlight w:val="lightGray"/>
        </w:rPr>
        <w:t>) you disagree with the denial</w:t>
      </w:r>
      <w:r w:rsidR="008A6966" w:rsidRPr="00C3135D">
        <w:rPr>
          <w:rFonts w:cstheme="minorHAnsi"/>
          <w:sz w:val="22"/>
          <w:szCs w:val="22"/>
          <w:highlight w:val="lightGray"/>
        </w:rPr>
        <w:t>]</w:t>
      </w:r>
      <w:r w:rsidR="008A6966">
        <w:rPr>
          <w:rFonts w:cstheme="minorHAnsi"/>
          <w:sz w:val="22"/>
          <w:szCs w:val="22"/>
        </w:rPr>
        <w:t xml:space="preserve">. </w:t>
      </w:r>
      <w:r w:rsidRPr="007576B6">
        <w:rPr>
          <w:rFonts w:cstheme="minorHAnsi"/>
          <w:sz w:val="22"/>
          <w:szCs w:val="22"/>
        </w:rPr>
        <w:t>This letter and the attached documentation provide support for the use of VUMERITY for this patient.</w:t>
      </w:r>
    </w:p>
    <w:p w14:paraId="51925251" w14:textId="419233A2" w:rsidR="008A6966" w:rsidRDefault="00625E4B" w:rsidP="00BB2BBE">
      <w:pPr>
        <w:tabs>
          <w:tab w:val="left" w:pos="3567"/>
        </w:tabs>
        <w:spacing w:after="200"/>
        <w:rPr>
          <w:rFonts w:cstheme="minorHAnsi"/>
          <w:color w:val="FF40FF"/>
          <w:sz w:val="22"/>
          <w:szCs w:val="22"/>
        </w:rPr>
      </w:pPr>
      <w:r w:rsidRPr="00625E4B">
        <w:rPr>
          <w:rFonts w:cstheme="minorHAnsi"/>
          <w:color w:val="1A1A1A"/>
          <w:sz w:val="22"/>
          <w:szCs w:val="22"/>
        </w:rPr>
        <w:t>As a board</w:t>
      </w:r>
      <w:r w:rsidR="009C0D3A">
        <w:rPr>
          <w:rFonts w:cstheme="minorHAnsi"/>
          <w:color w:val="1A1A1A"/>
          <w:sz w:val="22"/>
          <w:szCs w:val="22"/>
        </w:rPr>
        <w:t>-</w:t>
      </w:r>
      <w:r w:rsidRPr="00625E4B">
        <w:rPr>
          <w:rFonts w:cstheme="minorHAnsi"/>
          <w:color w:val="1A1A1A"/>
          <w:sz w:val="22"/>
          <w:szCs w:val="22"/>
        </w:rPr>
        <w:t xml:space="preserve">certified </w:t>
      </w:r>
      <w:r w:rsidRPr="003E3ED6">
        <w:rPr>
          <w:rFonts w:cstheme="minorHAnsi"/>
          <w:color w:val="1A1A1A"/>
          <w:sz w:val="22"/>
          <w:szCs w:val="22"/>
          <w:highlight w:val="lightGray"/>
        </w:rPr>
        <w:t>[field of certification]</w:t>
      </w:r>
      <w:r w:rsidRPr="00625E4B">
        <w:rPr>
          <w:rFonts w:cstheme="minorHAnsi"/>
          <w:color w:val="1A1A1A"/>
          <w:sz w:val="22"/>
          <w:szCs w:val="22"/>
        </w:rPr>
        <w:t xml:space="preserve"> with </w:t>
      </w:r>
      <w:r w:rsidR="00BB2BBE" w:rsidRPr="007576B6">
        <w:rPr>
          <w:rFonts w:cstheme="minorHAnsi"/>
          <w:color w:val="1A1A1A"/>
          <w:sz w:val="22"/>
          <w:szCs w:val="22"/>
          <w:highlight w:val="lightGray"/>
        </w:rPr>
        <w:t>[XX]</w:t>
      </w:r>
      <w:r w:rsidR="00BB2BBE" w:rsidRPr="007576B6">
        <w:rPr>
          <w:rFonts w:cstheme="minorHAnsi"/>
          <w:color w:val="1A1A1A"/>
          <w:sz w:val="22"/>
          <w:szCs w:val="22"/>
        </w:rPr>
        <w:t xml:space="preserve"> years of experience treating MS, I believe that the RMS medication</w:t>
      </w:r>
      <w:r w:rsidR="00474C37" w:rsidRPr="00474C37">
        <w:rPr>
          <w:rFonts w:cstheme="minorHAnsi"/>
          <w:color w:val="1A1A1A"/>
          <w:sz w:val="22"/>
          <w:szCs w:val="22"/>
          <w:highlight w:val="lightGray"/>
        </w:rPr>
        <w:t>[</w:t>
      </w:r>
      <w:r w:rsidR="00BB2BBE" w:rsidRPr="00474C37">
        <w:rPr>
          <w:rFonts w:cstheme="minorHAnsi"/>
          <w:color w:val="1A1A1A"/>
          <w:sz w:val="22"/>
          <w:szCs w:val="22"/>
          <w:highlight w:val="lightGray"/>
        </w:rPr>
        <w:t>s</w:t>
      </w:r>
      <w:r w:rsidR="00474C37" w:rsidRPr="00474C37">
        <w:rPr>
          <w:rFonts w:cstheme="minorHAnsi"/>
          <w:color w:val="1A1A1A"/>
          <w:sz w:val="22"/>
          <w:szCs w:val="22"/>
          <w:highlight w:val="lightGray"/>
        </w:rPr>
        <w:t>]</w:t>
      </w:r>
      <w:r w:rsidR="00474C37" w:rsidRPr="007576B6">
        <w:rPr>
          <w:rFonts w:cstheme="minorHAnsi"/>
          <w:color w:val="1A1A1A"/>
          <w:sz w:val="22"/>
          <w:szCs w:val="22"/>
        </w:rPr>
        <w:t xml:space="preserve"> </w:t>
      </w:r>
      <w:r w:rsidR="00BB2BBE" w:rsidRPr="007576B6">
        <w:rPr>
          <w:rFonts w:cstheme="minorHAnsi"/>
          <w:color w:val="1A1A1A"/>
          <w:sz w:val="22"/>
          <w:szCs w:val="22"/>
        </w:rPr>
        <w:t xml:space="preserve">preferred by your coverage policy </w:t>
      </w:r>
      <w:r w:rsidR="008477A2" w:rsidRPr="003E3ED6">
        <w:rPr>
          <w:rFonts w:cstheme="minorHAnsi"/>
          <w:color w:val="1A1A1A"/>
          <w:sz w:val="22"/>
          <w:szCs w:val="22"/>
          <w:highlight w:val="lightGray"/>
        </w:rPr>
        <w:t>[is/</w:t>
      </w:r>
      <w:r w:rsidR="00BB2BBE" w:rsidRPr="003E3ED6">
        <w:rPr>
          <w:rFonts w:cstheme="minorHAnsi"/>
          <w:color w:val="1A1A1A"/>
          <w:sz w:val="22"/>
          <w:szCs w:val="22"/>
          <w:highlight w:val="lightGray"/>
        </w:rPr>
        <w:t>are</w:t>
      </w:r>
      <w:r w:rsidR="008477A2" w:rsidRPr="003E3ED6">
        <w:rPr>
          <w:rFonts w:cstheme="minorHAnsi"/>
          <w:color w:val="1A1A1A"/>
          <w:sz w:val="22"/>
          <w:szCs w:val="22"/>
          <w:highlight w:val="lightGray"/>
        </w:rPr>
        <w:t>]</w:t>
      </w:r>
      <w:r w:rsidR="00BB2BBE" w:rsidRPr="007576B6">
        <w:rPr>
          <w:rFonts w:cstheme="minorHAnsi"/>
          <w:color w:val="1A1A1A"/>
          <w:sz w:val="22"/>
          <w:szCs w:val="22"/>
        </w:rPr>
        <w:t xml:space="preserve"> not appropriate for my patient’s MS. </w:t>
      </w:r>
      <w:r w:rsidR="008477A2" w:rsidRPr="00474C37">
        <w:rPr>
          <w:rFonts w:cstheme="minorHAnsi"/>
          <w:sz w:val="22"/>
          <w:szCs w:val="22"/>
        </w:rPr>
        <w:t xml:space="preserve">Utilizing </w:t>
      </w:r>
      <w:r w:rsidR="008477A2" w:rsidRPr="00474C37">
        <w:rPr>
          <w:rFonts w:cstheme="minorHAnsi"/>
          <w:sz w:val="22"/>
          <w:szCs w:val="22"/>
          <w:highlight w:val="lightGray"/>
        </w:rPr>
        <w:t>[name of product(s)]</w:t>
      </w:r>
      <w:r w:rsidR="008477A2">
        <w:rPr>
          <w:rFonts w:cstheme="minorHAnsi"/>
          <w:sz w:val="22"/>
          <w:szCs w:val="22"/>
          <w:highlight w:val="lightGray"/>
        </w:rPr>
        <w:t xml:space="preserve"> before VUMERITY is not appropriate for </w:t>
      </w:r>
      <w:r w:rsidR="007E7856" w:rsidRPr="00474C37">
        <w:rPr>
          <w:rFonts w:cstheme="minorHAnsi"/>
          <w:sz w:val="22"/>
          <w:szCs w:val="22"/>
          <w:highlight w:val="lightGray"/>
        </w:rPr>
        <w:t>[him/her/them]</w:t>
      </w:r>
      <w:r w:rsidR="008477A2">
        <w:rPr>
          <w:rFonts w:cstheme="minorHAnsi"/>
          <w:sz w:val="22"/>
          <w:szCs w:val="22"/>
          <w:highlight w:val="lightGray"/>
        </w:rPr>
        <w:t xml:space="preserve"> because </w:t>
      </w:r>
      <w:r w:rsidR="008477A2" w:rsidRPr="00474C37">
        <w:rPr>
          <w:rFonts w:cstheme="minorHAnsi"/>
          <w:sz w:val="22"/>
          <w:szCs w:val="22"/>
          <w:highlight w:val="lightGray"/>
        </w:rPr>
        <w:t xml:space="preserve">[list reason(s) </w:t>
      </w:r>
      <w:r w:rsidR="007E7856" w:rsidRPr="00474C37">
        <w:rPr>
          <w:rFonts w:cstheme="minorHAnsi"/>
          <w:sz w:val="22"/>
          <w:szCs w:val="22"/>
          <w:highlight w:val="lightGray"/>
        </w:rPr>
        <w:t>medication(s)</w:t>
      </w:r>
      <w:r w:rsidR="008477A2" w:rsidRPr="00474C37">
        <w:rPr>
          <w:rFonts w:cstheme="minorHAnsi"/>
          <w:sz w:val="22"/>
          <w:szCs w:val="22"/>
          <w:highlight w:val="lightGray"/>
        </w:rPr>
        <w:t xml:space="preserve"> are not appropriate such as safet</w:t>
      </w:r>
      <w:r w:rsidR="007E7856" w:rsidRPr="00474C37">
        <w:rPr>
          <w:rFonts w:cstheme="minorHAnsi"/>
          <w:sz w:val="22"/>
          <w:szCs w:val="22"/>
          <w:highlight w:val="lightGray"/>
        </w:rPr>
        <w:t>y,</w:t>
      </w:r>
      <w:r w:rsidR="008477A2" w:rsidRPr="00474C37">
        <w:rPr>
          <w:rFonts w:cstheme="minorHAnsi"/>
          <w:sz w:val="22"/>
          <w:szCs w:val="22"/>
          <w:highlight w:val="lightGray"/>
        </w:rPr>
        <w:t xml:space="preserve"> efficacy, contraindications, </w:t>
      </w:r>
      <w:r w:rsidR="00EB30CD" w:rsidRPr="00474C37">
        <w:rPr>
          <w:rFonts w:cstheme="minorHAnsi"/>
          <w:sz w:val="22"/>
          <w:szCs w:val="22"/>
          <w:highlight w:val="lightGray"/>
        </w:rPr>
        <w:t>tolerability, route of administration, etc</w:t>
      </w:r>
      <w:r w:rsidR="008477A2" w:rsidRPr="00474C37">
        <w:rPr>
          <w:rFonts w:cstheme="minorHAnsi"/>
          <w:sz w:val="22"/>
          <w:szCs w:val="22"/>
          <w:highlight w:val="lightGray"/>
        </w:rPr>
        <w:t>]</w:t>
      </w:r>
      <w:r w:rsidR="008477A2">
        <w:rPr>
          <w:rFonts w:cstheme="minorHAnsi"/>
          <w:sz w:val="22"/>
          <w:szCs w:val="22"/>
        </w:rPr>
        <w:t xml:space="preserve">. </w:t>
      </w:r>
      <w:r w:rsidR="00173A6B" w:rsidRPr="00173A6B">
        <w:rPr>
          <w:rFonts w:cstheme="minorHAnsi"/>
          <w:color w:val="1A1A1A"/>
          <w:sz w:val="22"/>
          <w:szCs w:val="22"/>
          <w:highlight w:val="lightGray"/>
        </w:rPr>
        <w:t>[HCP to state the number of years they have been treating the patient and their opinion on the necessity of treating with VUMERITY.]</w:t>
      </w:r>
    </w:p>
    <w:p w14:paraId="25788C19" w14:textId="42ED9C39" w:rsidR="00BB2BBE" w:rsidRPr="003C1B88" w:rsidRDefault="00E500A4" w:rsidP="00BB2BBE">
      <w:pPr>
        <w:tabs>
          <w:tab w:val="left" w:pos="3567"/>
        </w:tabs>
        <w:spacing w:after="200"/>
        <w:rPr>
          <w:rFonts w:cstheme="minorHAnsi"/>
          <w:color w:val="000000" w:themeColor="text1"/>
          <w:sz w:val="22"/>
          <w:szCs w:val="22"/>
        </w:rPr>
      </w:pPr>
      <w:r w:rsidRPr="00D3376A">
        <w:rPr>
          <w:rFonts w:cstheme="minorHAnsi"/>
          <w:color w:val="000000" w:themeColor="text1"/>
          <w:sz w:val="22"/>
          <w:szCs w:val="22"/>
          <w:highlight w:val="lightGray"/>
        </w:rPr>
        <w:t>[</w:t>
      </w:r>
      <w:r w:rsidR="00BB2BBE" w:rsidRPr="00D3376A">
        <w:rPr>
          <w:rFonts w:cstheme="minorHAnsi"/>
          <w:color w:val="000000" w:themeColor="text1"/>
          <w:sz w:val="22"/>
          <w:szCs w:val="22"/>
          <w:highlight w:val="lightGray"/>
        </w:rPr>
        <w:t>T</w:t>
      </w:r>
      <w:r w:rsidR="00BB2BBE" w:rsidRPr="005A7EAB">
        <w:rPr>
          <w:rFonts w:cstheme="minorHAnsi"/>
          <w:color w:val="000000" w:themeColor="text1"/>
          <w:sz w:val="22"/>
          <w:szCs w:val="22"/>
          <w:highlight w:val="lightGray"/>
        </w:rPr>
        <w:t>he previous disease-modifying [therapy/therapies] for this patient include:</w:t>
      </w:r>
      <w:r w:rsidRPr="005A7EAB">
        <w:rPr>
          <w:rFonts w:cstheme="minorHAnsi"/>
          <w:color w:val="000000" w:themeColor="text1"/>
          <w:sz w:val="22"/>
          <w:szCs w:val="22"/>
          <w:highlight w:val="lightGray"/>
        </w:rPr>
        <w:t>]</w:t>
      </w:r>
    </w:p>
    <w:tbl>
      <w:tblPr>
        <w:tblStyle w:val="TableGrid"/>
        <w:tblW w:w="0" w:type="auto"/>
        <w:tblLook w:val="04A0" w:firstRow="1" w:lastRow="0" w:firstColumn="1" w:lastColumn="0" w:noHBand="0" w:noVBand="1"/>
      </w:tblPr>
      <w:tblGrid>
        <w:gridCol w:w="2335"/>
        <w:gridCol w:w="1260"/>
        <w:gridCol w:w="2160"/>
        <w:gridCol w:w="5035"/>
      </w:tblGrid>
      <w:tr w:rsidR="00BB2BBE" w:rsidRPr="007576B6" w14:paraId="545A5114" w14:textId="77777777" w:rsidTr="00613CE6">
        <w:tc>
          <w:tcPr>
            <w:tcW w:w="2335" w:type="dxa"/>
          </w:tcPr>
          <w:p w14:paraId="1CA36497" w14:textId="4A8FD988" w:rsidR="00BB2BBE" w:rsidRPr="007576B6" w:rsidRDefault="00BB2BBE" w:rsidP="00613CE6">
            <w:pPr>
              <w:tabs>
                <w:tab w:val="left" w:pos="3567"/>
              </w:tabs>
              <w:rPr>
                <w:rFonts w:cstheme="minorHAnsi"/>
                <w:b/>
                <w:bCs/>
              </w:rPr>
            </w:pPr>
            <w:r w:rsidRPr="007576B6">
              <w:rPr>
                <w:rFonts w:cstheme="minorHAnsi"/>
                <w:b/>
                <w:bCs/>
              </w:rPr>
              <w:t>Medication</w:t>
            </w:r>
          </w:p>
        </w:tc>
        <w:tc>
          <w:tcPr>
            <w:tcW w:w="1260" w:type="dxa"/>
          </w:tcPr>
          <w:p w14:paraId="4356AF99" w14:textId="77777777" w:rsidR="00BB2BBE" w:rsidRPr="007576B6" w:rsidRDefault="00BB2BBE" w:rsidP="00613CE6">
            <w:pPr>
              <w:tabs>
                <w:tab w:val="left" w:pos="3567"/>
              </w:tabs>
              <w:rPr>
                <w:rFonts w:cstheme="minorHAnsi"/>
                <w:b/>
                <w:bCs/>
              </w:rPr>
            </w:pPr>
            <w:r w:rsidRPr="007576B6">
              <w:rPr>
                <w:rFonts w:cstheme="minorHAnsi"/>
                <w:b/>
                <w:bCs/>
              </w:rPr>
              <w:t>Strength</w:t>
            </w:r>
          </w:p>
        </w:tc>
        <w:tc>
          <w:tcPr>
            <w:tcW w:w="2160" w:type="dxa"/>
          </w:tcPr>
          <w:p w14:paraId="6F9B6A01" w14:textId="77777777" w:rsidR="00BB2BBE" w:rsidRPr="007576B6" w:rsidRDefault="00BB2BBE" w:rsidP="00613CE6">
            <w:pPr>
              <w:tabs>
                <w:tab w:val="left" w:pos="3567"/>
              </w:tabs>
              <w:rPr>
                <w:rFonts w:cstheme="minorHAnsi"/>
                <w:b/>
                <w:bCs/>
              </w:rPr>
            </w:pPr>
            <w:r w:rsidRPr="007576B6">
              <w:rPr>
                <w:rFonts w:cstheme="minorHAnsi"/>
                <w:b/>
                <w:bCs/>
              </w:rPr>
              <w:t>Dates of Therapy</w:t>
            </w:r>
          </w:p>
        </w:tc>
        <w:tc>
          <w:tcPr>
            <w:tcW w:w="5035" w:type="dxa"/>
          </w:tcPr>
          <w:p w14:paraId="383E9802" w14:textId="35164D5F" w:rsidR="00BB2BBE" w:rsidRPr="007576B6" w:rsidRDefault="00BB2BBE" w:rsidP="00613CE6">
            <w:pPr>
              <w:tabs>
                <w:tab w:val="left" w:pos="3567"/>
              </w:tabs>
              <w:rPr>
                <w:rFonts w:cstheme="minorHAnsi"/>
                <w:b/>
                <w:bCs/>
              </w:rPr>
            </w:pPr>
            <w:r w:rsidRPr="007576B6">
              <w:rPr>
                <w:rFonts w:cstheme="minorHAnsi"/>
                <w:b/>
                <w:bCs/>
              </w:rPr>
              <w:t>Reason for Failure/Discontinuation or Contraindications</w:t>
            </w:r>
          </w:p>
        </w:tc>
      </w:tr>
      <w:tr w:rsidR="00BB2BBE" w:rsidRPr="007576B6" w14:paraId="021EF217" w14:textId="77777777" w:rsidTr="00613CE6">
        <w:tc>
          <w:tcPr>
            <w:tcW w:w="2335" w:type="dxa"/>
          </w:tcPr>
          <w:p w14:paraId="27E549A1" w14:textId="77777777" w:rsidR="00BB2BBE" w:rsidRPr="007576B6" w:rsidRDefault="00BB2BBE" w:rsidP="00613CE6">
            <w:pPr>
              <w:tabs>
                <w:tab w:val="left" w:pos="3567"/>
              </w:tabs>
              <w:rPr>
                <w:rFonts w:cstheme="minorHAnsi"/>
              </w:rPr>
            </w:pPr>
          </w:p>
        </w:tc>
        <w:tc>
          <w:tcPr>
            <w:tcW w:w="1260" w:type="dxa"/>
          </w:tcPr>
          <w:p w14:paraId="22466567" w14:textId="77777777" w:rsidR="00BB2BBE" w:rsidRPr="007576B6" w:rsidRDefault="00BB2BBE" w:rsidP="00613CE6">
            <w:pPr>
              <w:tabs>
                <w:tab w:val="left" w:pos="3567"/>
              </w:tabs>
              <w:rPr>
                <w:rFonts w:cstheme="minorHAnsi"/>
              </w:rPr>
            </w:pPr>
          </w:p>
        </w:tc>
        <w:tc>
          <w:tcPr>
            <w:tcW w:w="2160" w:type="dxa"/>
          </w:tcPr>
          <w:p w14:paraId="01ACF7F0" w14:textId="098C006D" w:rsidR="00BB2BBE" w:rsidRPr="007576B6" w:rsidRDefault="00BB2BBE" w:rsidP="00613CE6">
            <w:pPr>
              <w:tabs>
                <w:tab w:val="left" w:pos="3567"/>
              </w:tabs>
              <w:rPr>
                <w:rFonts w:cstheme="minorHAnsi"/>
              </w:rPr>
            </w:pPr>
          </w:p>
        </w:tc>
        <w:tc>
          <w:tcPr>
            <w:tcW w:w="5035" w:type="dxa"/>
          </w:tcPr>
          <w:p w14:paraId="63B06BA8" w14:textId="7E3BABD7" w:rsidR="00BB2BBE" w:rsidRPr="007576B6" w:rsidRDefault="00BB2BBE" w:rsidP="00613CE6">
            <w:pPr>
              <w:tabs>
                <w:tab w:val="left" w:pos="3567"/>
              </w:tabs>
              <w:rPr>
                <w:rFonts w:cstheme="minorHAnsi"/>
              </w:rPr>
            </w:pPr>
          </w:p>
        </w:tc>
      </w:tr>
      <w:tr w:rsidR="00BB2BBE" w:rsidRPr="007576B6" w14:paraId="2BC864EC" w14:textId="77777777" w:rsidTr="00613CE6">
        <w:tc>
          <w:tcPr>
            <w:tcW w:w="2335" w:type="dxa"/>
          </w:tcPr>
          <w:p w14:paraId="783A0F9A" w14:textId="77777777" w:rsidR="00BB2BBE" w:rsidRPr="007576B6" w:rsidRDefault="00BB2BBE" w:rsidP="00613CE6">
            <w:pPr>
              <w:tabs>
                <w:tab w:val="left" w:pos="3567"/>
              </w:tabs>
              <w:rPr>
                <w:rFonts w:cstheme="minorHAnsi"/>
              </w:rPr>
            </w:pPr>
          </w:p>
        </w:tc>
        <w:tc>
          <w:tcPr>
            <w:tcW w:w="1260" w:type="dxa"/>
          </w:tcPr>
          <w:p w14:paraId="66759070" w14:textId="754FA443" w:rsidR="00BB2BBE" w:rsidRPr="007576B6" w:rsidRDefault="00BB2BBE" w:rsidP="00613CE6">
            <w:pPr>
              <w:tabs>
                <w:tab w:val="left" w:pos="3567"/>
              </w:tabs>
              <w:rPr>
                <w:rFonts w:cstheme="minorHAnsi"/>
              </w:rPr>
            </w:pPr>
          </w:p>
        </w:tc>
        <w:tc>
          <w:tcPr>
            <w:tcW w:w="2160" w:type="dxa"/>
          </w:tcPr>
          <w:p w14:paraId="47331571" w14:textId="77777777" w:rsidR="00BB2BBE" w:rsidRPr="007576B6" w:rsidRDefault="00BB2BBE" w:rsidP="00613CE6">
            <w:pPr>
              <w:tabs>
                <w:tab w:val="left" w:pos="3567"/>
              </w:tabs>
              <w:rPr>
                <w:rFonts w:cstheme="minorHAnsi"/>
              </w:rPr>
            </w:pPr>
          </w:p>
        </w:tc>
        <w:tc>
          <w:tcPr>
            <w:tcW w:w="5035" w:type="dxa"/>
          </w:tcPr>
          <w:p w14:paraId="0DCA7A74" w14:textId="1466BB87" w:rsidR="00BB2BBE" w:rsidRPr="007576B6" w:rsidRDefault="00BB2BBE" w:rsidP="00613CE6">
            <w:pPr>
              <w:tabs>
                <w:tab w:val="left" w:pos="3567"/>
              </w:tabs>
              <w:rPr>
                <w:rFonts w:cstheme="minorHAnsi"/>
              </w:rPr>
            </w:pPr>
          </w:p>
        </w:tc>
      </w:tr>
      <w:tr w:rsidR="00BB2BBE" w:rsidRPr="007576B6" w14:paraId="6EFE81A5" w14:textId="77777777" w:rsidTr="00613CE6">
        <w:tc>
          <w:tcPr>
            <w:tcW w:w="2335" w:type="dxa"/>
          </w:tcPr>
          <w:p w14:paraId="41D46EBA" w14:textId="380B6878" w:rsidR="00BB2BBE" w:rsidRPr="007576B6" w:rsidRDefault="00BB2BBE" w:rsidP="00613CE6">
            <w:pPr>
              <w:tabs>
                <w:tab w:val="left" w:pos="3567"/>
              </w:tabs>
              <w:rPr>
                <w:rFonts w:cstheme="minorHAnsi"/>
              </w:rPr>
            </w:pPr>
          </w:p>
        </w:tc>
        <w:tc>
          <w:tcPr>
            <w:tcW w:w="1260" w:type="dxa"/>
          </w:tcPr>
          <w:p w14:paraId="0DA8A9DE" w14:textId="41043923" w:rsidR="00BB2BBE" w:rsidRPr="007576B6" w:rsidRDefault="00BB2BBE" w:rsidP="00613CE6">
            <w:pPr>
              <w:tabs>
                <w:tab w:val="left" w:pos="3567"/>
              </w:tabs>
              <w:rPr>
                <w:rFonts w:cstheme="minorHAnsi"/>
              </w:rPr>
            </w:pPr>
          </w:p>
        </w:tc>
        <w:tc>
          <w:tcPr>
            <w:tcW w:w="2160" w:type="dxa"/>
          </w:tcPr>
          <w:p w14:paraId="1A896A64" w14:textId="77777777" w:rsidR="00BB2BBE" w:rsidRPr="007576B6" w:rsidRDefault="00BB2BBE" w:rsidP="00613CE6">
            <w:pPr>
              <w:tabs>
                <w:tab w:val="left" w:pos="3567"/>
              </w:tabs>
              <w:rPr>
                <w:rFonts w:cstheme="minorHAnsi"/>
              </w:rPr>
            </w:pPr>
          </w:p>
        </w:tc>
        <w:tc>
          <w:tcPr>
            <w:tcW w:w="5035" w:type="dxa"/>
          </w:tcPr>
          <w:p w14:paraId="24C32F68" w14:textId="0CB004F2" w:rsidR="00BB2BBE" w:rsidRPr="007576B6" w:rsidRDefault="00BB2BBE" w:rsidP="00613CE6">
            <w:pPr>
              <w:tabs>
                <w:tab w:val="left" w:pos="3567"/>
              </w:tabs>
              <w:rPr>
                <w:rFonts w:cstheme="minorHAnsi"/>
              </w:rPr>
            </w:pPr>
          </w:p>
        </w:tc>
      </w:tr>
      <w:tr w:rsidR="00BB2BBE" w:rsidRPr="007576B6" w14:paraId="041490A0" w14:textId="77777777" w:rsidTr="00613CE6">
        <w:tc>
          <w:tcPr>
            <w:tcW w:w="2335" w:type="dxa"/>
          </w:tcPr>
          <w:p w14:paraId="34C0811E" w14:textId="7AB586E9" w:rsidR="00BB2BBE" w:rsidRPr="007576B6" w:rsidRDefault="00BB2BBE" w:rsidP="00613CE6">
            <w:pPr>
              <w:tabs>
                <w:tab w:val="left" w:pos="3567"/>
              </w:tabs>
              <w:rPr>
                <w:rFonts w:cstheme="minorHAnsi"/>
              </w:rPr>
            </w:pPr>
          </w:p>
        </w:tc>
        <w:tc>
          <w:tcPr>
            <w:tcW w:w="1260" w:type="dxa"/>
          </w:tcPr>
          <w:p w14:paraId="58261E35" w14:textId="77777777" w:rsidR="00BB2BBE" w:rsidRPr="007576B6" w:rsidRDefault="00BB2BBE" w:rsidP="00613CE6">
            <w:pPr>
              <w:tabs>
                <w:tab w:val="left" w:pos="3567"/>
              </w:tabs>
              <w:rPr>
                <w:rFonts w:cstheme="minorHAnsi"/>
              </w:rPr>
            </w:pPr>
          </w:p>
        </w:tc>
        <w:tc>
          <w:tcPr>
            <w:tcW w:w="2160" w:type="dxa"/>
          </w:tcPr>
          <w:p w14:paraId="4961CDF1" w14:textId="77777777" w:rsidR="00BB2BBE" w:rsidRPr="007576B6" w:rsidRDefault="00BB2BBE" w:rsidP="00613CE6">
            <w:pPr>
              <w:tabs>
                <w:tab w:val="left" w:pos="3567"/>
              </w:tabs>
              <w:rPr>
                <w:rFonts w:cstheme="minorHAnsi"/>
              </w:rPr>
            </w:pPr>
          </w:p>
        </w:tc>
        <w:tc>
          <w:tcPr>
            <w:tcW w:w="5035" w:type="dxa"/>
          </w:tcPr>
          <w:p w14:paraId="4826659A" w14:textId="77777777" w:rsidR="00BB2BBE" w:rsidRPr="007576B6" w:rsidRDefault="00BB2BBE" w:rsidP="00613CE6">
            <w:pPr>
              <w:tabs>
                <w:tab w:val="left" w:pos="3567"/>
              </w:tabs>
              <w:rPr>
                <w:rFonts w:cstheme="minorHAnsi"/>
              </w:rPr>
            </w:pPr>
          </w:p>
        </w:tc>
      </w:tr>
    </w:tbl>
    <w:p w14:paraId="23FD0F23" w14:textId="0C4DCEB7" w:rsidR="00BB2BBE" w:rsidRPr="007576B6" w:rsidRDefault="00BB2BBE" w:rsidP="00BB2BBE">
      <w:pPr>
        <w:tabs>
          <w:tab w:val="left" w:pos="3567"/>
        </w:tabs>
        <w:spacing w:after="60"/>
        <w:rPr>
          <w:rFonts w:cstheme="minorHAnsi"/>
          <w:sz w:val="22"/>
          <w:szCs w:val="22"/>
        </w:rPr>
      </w:pPr>
      <w:r w:rsidRPr="007576B6">
        <w:rPr>
          <w:rFonts w:cstheme="minorHAnsi"/>
          <w:sz w:val="22"/>
          <w:szCs w:val="22"/>
        </w:rPr>
        <w:br/>
        <w:t>I have evaluated my patient’s clinical symptoms and have provided a summary below:</w:t>
      </w:r>
    </w:p>
    <w:p w14:paraId="3E3A705B" w14:textId="77777777" w:rsidR="00BB2BBE" w:rsidRPr="007576B6" w:rsidRDefault="00BB2BBE" w:rsidP="00BB2BBE">
      <w:pPr>
        <w:numPr>
          <w:ilvl w:val="0"/>
          <w:numId w:val="10"/>
        </w:numPr>
        <w:spacing w:after="60"/>
        <w:contextualSpacing/>
        <w:rPr>
          <w:rFonts w:cstheme="minorHAnsi"/>
          <w:sz w:val="22"/>
          <w:szCs w:val="22"/>
        </w:rPr>
      </w:pPr>
      <w:r w:rsidRPr="007576B6">
        <w:rPr>
          <w:rFonts w:cstheme="minorHAnsi"/>
          <w:sz w:val="22"/>
          <w:szCs w:val="22"/>
          <w:highlight w:val="lightGray"/>
        </w:rPr>
        <w:t>[Date of diagnosis and ICD-10 code(s)]</w:t>
      </w:r>
    </w:p>
    <w:p w14:paraId="62F52734" w14:textId="2A609B04" w:rsidR="00BB2BBE" w:rsidRPr="007576B6" w:rsidRDefault="00BB2BBE" w:rsidP="00BB2BBE">
      <w:pPr>
        <w:numPr>
          <w:ilvl w:val="0"/>
          <w:numId w:val="10"/>
        </w:numPr>
        <w:spacing w:after="60"/>
        <w:contextualSpacing/>
        <w:rPr>
          <w:rFonts w:cstheme="minorHAnsi"/>
          <w:sz w:val="22"/>
          <w:szCs w:val="22"/>
        </w:rPr>
      </w:pPr>
      <w:r w:rsidRPr="007576B6">
        <w:rPr>
          <w:rFonts w:cstheme="minorHAnsi"/>
          <w:sz w:val="22"/>
          <w:szCs w:val="22"/>
          <w:highlight w:val="lightGray"/>
        </w:rPr>
        <w:fldChar w:fldCharType="begin">
          <w:ffData>
            <w:name w:val=""/>
            <w:enabled/>
            <w:calcOnExit w:val="0"/>
            <w:textInput>
              <w:default w:val="[MRI data]"/>
            </w:textInput>
          </w:ffData>
        </w:fldChar>
      </w:r>
      <w:r w:rsidRPr="007576B6">
        <w:rPr>
          <w:rFonts w:cstheme="minorHAnsi"/>
          <w:sz w:val="22"/>
          <w:szCs w:val="22"/>
          <w:highlight w:val="lightGray"/>
        </w:rPr>
        <w:instrText xml:space="preserve"> FORMTEXT </w:instrText>
      </w:r>
      <w:r w:rsidRPr="007576B6">
        <w:rPr>
          <w:rFonts w:cstheme="minorHAnsi"/>
          <w:sz w:val="22"/>
          <w:szCs w:val="22"/>
          <w:highlight w:val="lightGray"/>
        </w:rPr>
      </w:r>
      <w:r w:rsidRPr="007576B6">
        <w:rPr>
          <w:rFonts w:cstheme="minorHAnsi"/>
          <w:sz w:val="22"/>
          <w:szCs w:val="22"/>
          <w:highlight w:val="lightGray"/>
        </w:rPr>
        <w:fldChar w:fldCharType="separate"/>
      </w:r>
      <w:r w:rsidRPr="007576B6">
        <w:rPr>
          <w:rFonts w:cstheme="minorHAnsi"/>
          <w:noProof/>
          <w:sz w:val="22"/>
          <w:szCs w:val="22"/>
          <w:highlight w:val="lightGray"/>
        </w:rPr>
        <w:t>[M</w:t>
      </w:r>
      <w:r w:rsidR="00474C37">
        <w:rPr>
          <w:rFonts w:cstheme="minorHAnsi"/>
          <w:noProof/>
          <w:sz w:val="22"/>
          <w:szCs w:val="22"/>
          <w:highlight w:val="lightGray"/>
        </w:rPr>
        <w:t xml:space="preserve">agnetic </w:t>
      </w:r>
      <w:r w:rsidR="00CD2355">
        <w:rPr>
          <w:rFonts w:cstheme="minorHAnsi"/>
          <w:noProof/>
          <w:sz w:val="22"/>
          <w:szCs w:val="22"/>
          <w:highlight w:val="lightGray"/>
        </w:rPr>
        <w:t xml:space="preserve">resonance imaging </w:t>
      </w:r>
      <w:r w:rsidR="00474C37">
        <w:rPr>
          <w:rFonts w:cstheme="minorHAnsi"/>
          <w:noProof/>
          <w:sz w:val="22"/>
          <w:szCs w:val="22"/>
          <w:highlight w:val="lightGray"/>
        </w:rPr>
        <w:t>(MRI)</w:t>
      </w:r>
      <w:r w:rsidRPr="007576B6">
        <w:rPr>
          <w:rFonts w:cstheme="minorHAnsi"/>
          <w:noProof/>
          <w:sz w:val="22"/>
          <w:szCs w:val="22"/>
          <w:highlight w:val="lightGray"/>
        </w:rPr>
        <w:t xml:space="preserve"> data]</w:t>
      </w:r>
      <w:r w:rsidRPr="007576B6">
        <w:rPr>
          <w:rFonts w:cstheme="minorHAnsi"/>
          <w:sz w:val="22"/>
          <w:szCs w:val="22"/>
          <w:highlight w:val="lightGray"/>
        </w:rPr>
        <w:fldChar w:fldCharType="end"/>
      </w:r>
    </w:p>
    <w:p w14:paraId="71EDCF0D" w14:textId="14E5AFD5" w:rsidR="00BB2BBE" w:rsidRPr="007576B6" w:rsidRDefault="00BB2BBE" w:rsidP="00BB2BBE">
      <w:pPr>
        <w:numPr>
          <w:ilvl w:val="0"/>
          <w:numId w:val="10"/>
        </w:numPr>
        <w:spacing w:after="60"/>
        <w:contextualSpacing/>
        <w:rPr>
          <w:rFonts w:cstheme="minorHAnsi"/>
          <w:sz w:val="22"/>
          <w:szCs w:val="22"/>
        </w:rPr>
      </w:pPr>
      <w:r w:rsidRPr="007576B6">
        <w:rPr>
          <w:rFonts w:cstheme="minorHAnsi"/>
          <w:sz w:val="22"/>
          <w:szCs w:val="22"/>
          <w:highlight w:val="lightGray"/>
        </w:rPr>
        <w:fldChar w:fldCharType="begin">
          <w:ffData>
            <w:name w:val=""/>
            <w:enabled/>
            <w:calcOnExit w:val="0"/>
            <w:textInput>
              <w:default w:val="[Physical disability]"/>
            </w:textInput>
          </w:ffData>
        </w:fldChar>
      </w:r>
      <w:r w:rsidRPr="007576B6">
        <w:rPr>
          <w:rFonts w:cstheme="minorHAnsi"/>
          <w:sz w:val="22"/>
          <w:szCs w:val="22"/>
          <w:highlight w:val="lightGray"/>
        </w:rPr>
        <w:instrText xml:space="preserve"> FORMTEXT </w:instrText>
      </w:r>
      <w:r w:rsidRPr="007576B6">
        <w:rPr>
          <w:rFonts w:cstheme="minorHAnsi"/>
          <w:sz w:val="22"/>
          <w:szCs w:val="22"/>
          <w:highlight w:val="lightGray"/>
        </w:rPr>
      </w:r>
      <w:r w:rsidRPr="007576B6">
        <w:rPr>
          <w:rFonts w:cstheme="minorHAnsi"/>
          <w:sz w:val="22"/>
          <w:szCs w:val="22"/>
          <w:highlight w:val="lightGray"/>
        </w:rPr>
        <w:fldChar w:fldCharType="separate"/>
      </w:r>
      <w:r w:rsidRPr="007576B6">
        <w:rPr>
          <w:rFonts w:cstheme="minorHAnsi"/>
          <w:noProof/>
          <w:sz w:val="22"/>
          <w:szCs w:val="22"/>
          <w:highlight w:val="lightGray"/>
        </w:rPr>
        <w:t xml:space="preserve">[Physical disability, including description and related test results (eg, </w:t>
      </w:r>
      <w:r w:rsidR="00C53470">
        <w:rPr>
          <w:rFonts w:cstheme="minorHAnsi"/>
          <w:noProof/>
          <w:sz w:val="22"/>
          <w:szCs w:val="22"/>
          <w:highlight w:val="lightGray"/>
        </w:rPr>
        <w:t>Expanded Disability Status Scale (</w:t>
      </w:r>
      <w:r w:rsidRPr="007576B6">
        <w:rPr>
          <w:rFonts w:cstheme="minorHAnsi"/>
          <w:noProof/>
          <w:sz w:val="22"/>
          <w:szCs w:val="22"/>
          <w:highlight w:val="lightGray"/>
        </w:rPr>
        <w:t>EDSS</w:t>
      </w:r>
      <w:r w:rsidR="00C53470">
        <w:rPr>
          <w:rFonts w:cstheme="minorHAnsi"/>
          <w:noProof/>
          <w:sz w:val="22"/>
          <w:szCs w:val="22"/>
          <w:highlight w:val="lightGray"/>
        </w:rPr>
        <w:t>)</w:t>
      </w:r>
      <w:r w:rsidRPr="007576B6">
        <w:rPr>
          <w:rFonts w:cstheme="minorHAnsi"/>
          <w:noProof/>
          <w:sz w:val="22"/>
          <w:szCs w:val="22"/>
          <w:highlight w:val="lightGray"/>
        </w:rPr>
        <w:t xml:space="preserve"> score)]</w:t>
      </w:r>
      <w:r w:rsidRPr="007576B6">
        <w:rPr>
          <w:rFonts w:cstheme="minorHAnsi"/>
          <w:sz w:val="22"/>
          <w:szCs w:val="22"/>
          <w:highlight w:val="lightGray"/>
        </w:rPr>
        <w:fldChar w:fldCharType="end"/>
      </w:r>
    </w:p>
    <w:p w14:paraId="4B2D2BC5" w14:textId="77777777" w:rsidR="00BB2BBE" w:rsidRPr="007576B6" w:rsidRDefault="00BB2BBE" w:rsidP="00BB2BBE">
      <w:pPr>
        <w:numPr>
          <w:ilvl w:val="0"/>
          <w:numId w:val="10"/>
        </w:numPr>
        <w:spacing w:after="60"/>
        <w:contextualSpacing/>
        <w:rPr>
          <w:rFonts w:cstheme="minorHAnsi"/>
          <w:sz w:val="22"/>
          <w:szCs w:val="22"/>
        </w:rPr>
      </w:pPr>
      <w:r w:rsidRPr="007576B6">
        <w:rPr>
          <w:rFonts w:cstheme="minorHAnsi"/>
          <w:sz w:val="22"/>
          <w:szCs w:val="22"/>
          <w:highlight w:val="lightGray"/>
        </w:rPr>
        <w:fldChar w:fldCharType="begin">
          <w:ffData>
            <w:name w:val=""/>
            <w:enabled/>
            <w:calcOnExit w:val="0"/>
            <w:textInput>
              <w:default w:val="[Relapse]"/>
            </w:textInput>
          </w:ffData>
        </w:fldChar>
      </w:r>
      <w:r w:rsidRPr="007576B6">
        <w:rPr>
          <w:rFonts w:cstheme="minorHAnsi"/>
          <w:sz w:val="22"/>
          <w:szCs w:val="22"/>
          <w:highlight w:val="lightGray"/>
        </w:rPr>
        <w:instrText xml:space="preserve"> FORMTEXT </w:instrText>
      </w:r>
      <w:r w:rsidRPr="007576B6">
        <w:rPr>
          <w:rFonts w:cstheme="minorHAnsi"/>
          <w:sz w:val="22"/>
          <w:szCs w:val="22"/>
          <w:highlight w:val="lightGray"/>
        </w:rPr>
      </w:r>
      <w:r w:rsidRPr="007576B6">
        <w:rPr>
          <w:rFonts w:cstheme="minorHAnsi"/>
          <w:sz w:val="22"/>
          <w:szCs w:val="22"/>
          <w:highlight w:val="lightGray"/>
        </w:rPr>
        <w:fldChar w:fldCharType="separate"/>
      </w:r>
      <w:r w:rsidRPr="007576B6">
        <w:rPr>
          <w:rFonts w:cstheme="minorHAnsi"/>
          <w:noProof/>
          <w:sz w:val="22"/>
          <w:szCs w:val="22"/>
          <w:highlight w:val="lightGray"/>
        </w:rPr>
        <w:t>[History of relapse(s), including dates and symptoms]</w:t>
      </w:r>
      <w:r w:rsidRPr="007576B6">
        <w:rPr>
          <w:rFonts w:cstheme="minorHAnsi"/>
          <w:sz w:val="22"/>
          <w:szCs w:val="22"/>
          <w:highlight w:val="lightGray"/>
        </w:rPr>
        <w:fldChar w:fldCharType="end"/>
      </w:r>
      <w:r w:rsidRPr="007576B6">
        <w:rPr>
          <w:rFonts w:cstheme="minorHAnsi"/>
          <w:sz w:val="22"/>
          <w:szCs w:val="22"/>
        </w:rPr>
        <w:t xml:space="preserve">  </w:t>
      </w:r>
    </w:p>
    <w:p w14:paraId="1EF4FCC2" w14:textId="77777777" w:rsidR="00BB2BBE" w:rsidRPr="007576B6" w:rsidRDefault="00BB2BBE" w:rsidP="00BB2BBE">
      <w:pPr>
        <w:numPr>
          <w:ilvl w:val="0"/>
          <w:numId w:val="10"/>
        </w:numPr>
        <w:spacing w:after="60"/>
        <w:contextualSpacing/>
        <w:rPr>
          <w:rFonts w:cstheme="minorHAnsi"/>
          <w:sz w:val="22"/>
          <w:szCs w:val="22"/>
        </w:rPr>
      </w:pPr>
      <w:r w:rsidRPr="007576B6">
        <w:rPr>
          <w:rFonts w:cstheme="minorHAnsi"/>
          <w:sz w:val="22"/>
          <w:szCs w:val="22"/>
          <w:highlight w:val="lightGray"/>
        </w:rPr>
        <w:t>[Pertinent laboratory values]</w:t>
      </w:r>
    </w:p>
    <w:p w14:paraId="3791704D" w14:textId="77777777" w:rsidR="00BB2BBE" w:rsidRPr="007576B6" w:rsidRDefault="00BB2BBE" w:rsidP="00BB2BBE">
      <w:pPr>
        <w:spacing w:after="60"/>
        <w:rPr>
          <w:rFonts w:cstheme="minorHAnsi"/>
          <w:sz w:val="22"/>
          <w:szCs w:val="22"/>
        </w:rPr>
      </w:pPr>
    </w:p>
    <w:p w14:paraId="574C8344" w14:textId="77777777" w:rsidR="00173A6B" w:rsidRPr="00173A6B" w:rsidRDefault="00173A6B" w:rsidP="00173A6B">
      <w:pPr>
        <w:rPr>
          <w:rFonts w:cstheme="minorHAnsi"/>
          <w:sz w:val="22"/>
          <w:szCs w:val="22"/>
        </w:rPr>
      </w:pPr>
      <w:r w:rsidRPr="00173A6B">
        <w:rPr>
          <w:rFonts w:cstheme="minorHAnsi"/>
          <w:sz w:val="22"/>
          <w:szCs w:val="22"/>
          <w:highlight w:val="lightGray"/>
        </w:rPr>
        <w:t>[HCP to insert the reasons for recommendation to use VUMERITY, which may include:]</w:t>
      </w:r>
      <w:r w:rsidRPr="00173A6B">
        <w:rPr>
          <w:rFonts w:cstheme="minorHAnsi"/>
          <w:sz w:val="22"/>
          <w:szCs w:val="22"/>
        </w:rPr>
        <w:t xml:space="preserve"> </w:t>
      </w:r>
    </w:p>
    <w:p w14:paraId="1EE08F2C" w14:textId="76A92FD4" w:rsidR="00BB2BBE" w:rsidRPr="007576B6" w:rsidRDefault="00BB2BBE" w:rsidP="00256410">
      <w:pPr>
        <w:pStyle w:val="ListParagraph"/>
        <w:numPr>
          <w:ilvl w:val="0"/>
          <w:numId w:val="11"/>
        </w:numPr>
        <w:spacing w:after="0" w:line="240" w:lineRule="auto"/>
        <w:rPr>
          <w:rFonts w:cstheme="minorHAnsi"/>
        </w:rPr>
      </w:pPr>
      <w:r w:rsidRPr="007576B6">
        <w:rPr>
          <w:rFonts w:cstheme="minorHAnsi"/>
          <w:highlight w:val="lightGray"/>
        </w:rPr>
        <w:t xml:space="preserve">[Reason(s) VUMERITY is most appropriate for this patient, such as efficacy profile of this product, safety and tolerability profile of this product, </w:t>
      </w:r>
      <w:r w:rsidR="0070407A">
        <w:rPr>
          <w:rFonts w:cstheme="minorHAnsi"/>
          <w:highlight w:val="lightGray"/>
        </w:rPr>
        <w:t xml:space="preserve">pharmacokinetic profile, </w:t>
      </w:r>
      <w:r w:rsidRPr="007576B6">
        <w:rPr>
          <w:rFonts w:cstheme="minorHAnsi"/>
          <w:highlight w:val="lightGray"/>
        </w:rPr>
        <w:t xml:space="preserve">dosage, and/or route of administration. Please see below for a summary of some key clinical data to support the use of VUMERITY. However, please also consider including other relevant clinical data specific to your patient </w:t>
      </w:r>
    </w:p>
    <w:p w14:paraId="2A2B3E05" w14:textId="4BB4CFCC" w:rsidR="00DA5642" w:rsidRPr="00026F4C" w:rsidRDefault="00DA5642" w:rsidP="00DA5642">
      <w:pPr>
        <w:pStyle w:val="ListParagraph"/>
        <w:numPr>
          <w:ilvl w:val="1"/>
          <w:numId w:val="11"/>
        </w:numPr>
        <w:spacing w:after="0" w:line="240" w:lineRule="auto"/>
        <w:rPr>
          <w:rFonts w:cstheme="minorHAnsi"/>
        </w:rPr>
      </w:pPr>
      <w:r w:rsidRPr="00463FC5">
        <w:rPr>
          <w:rFonts w:cstheme="minorHAnsi"/>
          <w:highlight w:val="lightGray"/>
        </w:rPr>
        <w:t xml:space="preserve">VUMERITY was submitted through the 505(b)(2) regulatory pathway and was approved by the FDA </w:t>
      </w:r>
      <w:r>
        <w:rPr>
          <w:rFonts w:cstheme="minorHAnsi"/>
          <w:highlight w:val="lightGray"/>
        </w:rPr>
        <w:t>i</w:t>
      </w:r>
      <w:r w:rsidRPr="00463FC5">
        <w:rPr>
          <w:rFonts w:cstheme="minorHAnsi"/>
          <w:highlight w:val="lightGray"/>
        </w:rPr>
        <w:t xml:space="preserve">n October </w:t>
      </w:r>
      <w:r>
        <w:rPr>
          <w:rFonts w:cstheme="minorHAnsi"/>
          <w:highlight w:val="lightGray"/>
        </w:rPr>
        <w:t xml:space="preserve">of </w:t>
      </w:r>
      <w:r w:rsidRPr="00463FC5">
        <w:rPr>
          <w:rFonts w:cstheme="minorHAnsi"/>
          <w:highlight w:val="lightGray"/>
        </w:rPr>
        <w:t>2019.</w:t>
      </w:r>
      <w:r>
        <w:rPr>
          <w:rFonts w:cstheme="minorHAnsi"/>
          <w:highlight w:val="lightGray"/>
          <w:vertAlign w:val="superscript"/>
        </w:rPr>
        <w:t>2</w:t>
      </w:r>
      <w:r w:rsidRPr="00463FC5">
        <w:rPr>
          <w:rFonts w:cstheme="minorHAnsi"/>
          <w:highlight w:val="lightGray"/>
        </w:rPr>
        <w:t xml:space="preserve"> It contains the same active metabolite (monomethyl fumarate [MMF]) as dimethyl fumarate (D</w:t>
      </w:r>
      <w:r w:rsidRPr="00ED0E9B">
        <w:rPr>
          <w:rFonts w:cstheme="minorHAnsi"/>
          <w:highlight w:val="lightGray"/>
        </w:rPr>
        <w:t xml:space="preserve">MF). </w:t>
      </w:r>
      <w:r w:rsidR="00ED0E9B" w:rsidRPr="00ED0E9B">
        <w:rPr>
          <w:highlight w:val="lightGray"/>
        </w:rPr>
        <w:t xml:space="preserve">The efficacy of VUMERITY is based upon bioavailability studies comparing DMF to </w:t>
      </w:r>
      <w:r w:rsidR="00ED0E9B" w:rsidRPr="00ED0E9B">
        <w:rPr>
          <w:highlight w:val="lightGray"/>
        </w:rPr>
        <w:lastRenderedPageBreak/>
        <w:t>VUMERITY in healthy subjects and patients with RMS.</w:t>
      </w:r>
      <w:r w:rsidR="00ED0E9B" w:rsidRPr="00ED0E9B">
        <w:rPr>
          <w:rFonts w:cstheme="minorHAnsi"/>
          <w:highlight w:val="lightGray"/>
        </w:rPr>
        <w:t xml:space="preserve"> </w:t>
      </w:r>
      <w:r w:rsidRPr="00ED0E9B">
        <w:rPr>
          <w:rFonts w:cstheme="minorHAnsi"/>
          <w:highlight w:val="lightGray"/>
        </w:rPr>
        <w:t xml:space="preserve">The </w:t>
      </w:r>
      <w:r w:rsidRPr="00026F4C">
        <w:rPr>
          <w:rFonts w:cstheme="minorHAnsi"/>
          <w:highlight w:val="lightGray"/>
        </w:rPr>
        <w:t>efficacy and safety of dimethyl fumarate were demonstrated in 2 randomized, double-blind, placebo-controlled studies in patients with relapsing-remitting multiple sclerosis</w:t>
      </w:r>
      <w:r w:rsidR="002D1AFB">
        <w:rPr>
          <w:rFonts w:cstheme="minorHAnsi"/>
          <w:highlight w:val="lightGray"/>
        </w:rPr>
        <w:t xml:space="preserve"> (RRMS)</w:t>
      </w:r>
      <w:r w:rsidRPr="00026F4C">
        <w:rPr>
          <w:rFonts w:cstheme="minorHAnsi"/>
          <w:highlight w:val="lightGray"/>
        </w:rPr>
        <w:t>. In Study 1, patients were randomized to receive dimethyl fumarate 240 mg twice a day (n=410), dimethyl fumarate 240 mg three times a day (n=416), or placebo (n=408) for up to 2 years. 73% of patients taking dimethyl fumarate remained relapse-free at 2 years vs 54% with placebo (primary endpoint: 27% vs 46%; P&lt;0.0001). 84% of patients experienced no disability progression while taking dimethyl fumarate vs 73% on placebo. In Study 2, patients were randomized to receive dimethyl fumarate 240 mg twice a day (n=359), dimethyl fumarate 240 mg three times a day (n=345), or placebo (n=350) for up to 2 years. Dimethyl fumarate demonstrated a 44% relative reduction in annualized relapse rate (ARR) vs placebo (primary endpoint: 0.224 vs 0.401; P&lt;0.0001). The dimethyl fumarate 240 mg three times daily dose resulted in no additional benefit over the dimethyl fumarate 240 mg twice</w:t>
      </w:r>
      <w:r w:rsidR="002D1AFB">
        <w:rPr>
          <w:rFonts w:cstheme="minorHAnsi"/>
          <w:highlight w:val="lightGray"/>
        </w:rPr>
        <w:t>-</w:t>
      </w:r>
      <w:r w:rsidRPr="00026F4C">
        <w:rPr>
          <w:rFonts w:cstheme="minorHAnsi"/>
          <w:highlight w:val="lightGray"/>
        </w:rPr>
        <w:t>daily dose in either study.</w:t>
      </w:r>
      <w:r w:rsidRPr="005359FE">
        <w:rPr>
          <w:rFonts w:cstheme="minorHAnsi"/>
          <w:highlight w:val="lightGray"/>
          <w:vertAlign w:val="superscript"/>
        </w:rPr>
        <w:t>1</w:t>
      </w:r>
    </w:p>
    <w:p w14:paraId="45128271" w14:textId="30121118" w:rsidR="00114396" w:rsidRPr="00A376F2" w:rsidRDefault="00BB2BBE" w:rsidP="00256410">
      <w:pPr>
        <w:pStyle w:val="ListParagraph"/>
        <w:numPr>
          <w:ilvl w:val="1"/>
          <w:numId w:val="11"/>
        </w:numPr>
        <w:spacing w:after="0" w:line="240" w:lineRule="auto"/>
        <w:rPr>
          <w:rFonts w:cstheme="minorHAnsi"/>
        </w:rPr>
      </w:pPr>
      <w:r w:rsidRPr="00A376F2">
        <w:rPr>
          <w:rFonts w:cstheme="minorHAnsi"/>
          <w:highlight w:val="lightGray"/>
        </w:rPr>
        <w:t>In clinical studies assessing safety in patients with RRMS, the adverse reaction profile of VUMERITY was consistent with the DMF clinical trials experience.</w:t>
      </w:r>
      <w:r w:rsidRPr="00A376F2">
        <w:rPr>
          <w:rFonts w:cstheme="minorHAnsi"/>
          <w:highlight w:val="lightGray"/>
          <w:vertAlign w:val="superscript"/>
        </w:rPr>
        <w:t>1</w:t>
      </w:r>
      <w:r w:rsidRPr="00A376F2">
        <w:rPr>
          <w:rFonts w:cstheme="minorHAnsi"/>
          <w:highlight w:val="lightGray"/>
        </w:rPr>
        <w:t xml:space="preserve"> EVOLVE-MS-2 was a phase 3, randomized, </w:t>
      </w:r>
      <w:r w:rsidR="00A9232D" w:rsidRPr="00A376F2">
        <w:rPr>
          <w:rFonts w:cstheme="minorHAnsi"/>
          <w:highlight w:val="lightGray"/>
        </w:rPr>
        <w:br/>
      </w:r>
      <w:r w:rsidRPr="00A376F2">
        <w:rPr>
          <w:rFonts w:cstheme="minorHAnsi"/>
          <w:highlight w:val="lightGray"/>
        </w:rPr>
        <w:t xml:space="preserve">head-to-head, active-controlled study to evaluate patient-assessed </w:t>
      </w:r>
      <w:r w:rsidR="00E55468" w:rsidRPr="00A376F2">
        <w:rPr>
          <w:rFonts w:cstheme="minorHAnsi"/>
          <w:highlight w:val="lightGray"/>
        </w:rPr>
        <w:t>gastrointestinal (</w:t>
      </w:r>
      <w:r w:rsidRPr="00A376F2">
        <w:rPr>
          <w:rFonts w:cstheme="minorHAnsi"/>
          <w:highlight w:val="lightGray"/>
        </w:rPr>
        <w:t>GI</w:t>
      </w:r>
      <w:r w:rsidR="00E55468" w:rsidRPr="00A376F2">
        <w:rPr>
          <w:rFonts w:cstheme="minorHAnsi"/>
          <w:highlight w:val="lightGray"/>
        </w:rPr>
        <w:t>)</w:t>
      </w:r>
      <w:r w:rsidRPr="00A376F2">
        <w:rPr>
          <w:rFonts w:cstheme="minorHAnsi"/>
          <w:highlight w:val="lightGray"/>
        </w:rPr>
        <w:t xml:space="preserve"> tolerability of VUMERITY versus DMF in patients with RRMS. Patients self-reported 46% fewer days (relative to exposure) with GI symptoms on VUMERITY versus DMF.</w:t>
      </w:r>
      <w:r w:rsidR="0063777F" w:rsidRPr="00A376F2">
        <w:rPr>
          <w:rFonts w:cstheme="minorHAnsi"/>
          <w:highlight w:val="lightGray"/>
          <w:vertAlign w:val="superscript"/>
        </w:rPr>
        <w:t>3</w:t>
      </w:r>
      <w:r w:rsidR="00114396" w:rsidRPr="00A376F2">
        <w:rPr>
          <w:rFonts w:cstheme="minorHAnsi"/>
          <w:highlight w:val="lightGray"/>
          <w:vertAlign w:val="superscript"/>
        </w:rPr>
        <w:t xml:space="preserve"> </w:t>
      </w:r>
      <w:r w:rsidR="001077B8" w:rsidRPr="00A376F2">
        <w:rPr>
          <w:rFonts w:cstheme="minorHAnsi"/>
          <w:highlight w:val="lightGray"/>
        </w:rPr>
        <w:t xml:space="preserve">Limitations </w:t>
      </w:r>
      <w:r w:rsidR="00114396" w:rsidRPr="00A376F2">
        <w:rPr>
          <w:rFonts w:cstheme="minorHAnsi"/>
          <w:highlight w:val="lightGray"/>
        </w:rPr>
        <w:t xml:space="preserve">and disclosures </w:t>
      </w:r>
      <w:r w:rsidR="001077B8" w:rsidRPr="00A376F2">
        <w:rPr>
          <w:rFonts w:cstheme="minorHAnsi"/>
          <w:highlight w:val="lightGray"/>
        </w:rPr>
        <w:t xml:space="preserve">of the EVOLVE-MS-2 </w:t>
      </w:r>
      <w:r w:rsidR="00114396" w:rsidRPr="00A376F2">
        <w:rPr>
          <w:rFonts w:cstheme="minorHAnsi"/>
          <w:highlight w:val="lightGray"/>
        </w:rPr>
        <w:t xml:space="preserve">study </w:t>
      </w:r>
      <w:r w:rsidR="00DA5642" w:rsidRPr="00A376F2">
        <w:rPr>
          <w:rFonts w:cstheme="minorHAnsi"/>
          <w:highlight w:val="lightGray"/>
        </w:rPr>
        <w:t>include</w:t>
      </w:r>
      <w:r w:rsidR="001077B8" w:rsidRPr="00A376F2">
        <w:rPr>
          <w:rFonts w:cstheme="minorHAnsi"/>
          <w:highlight w:val="lightGray"/>
        </w:rPr>
        <w:t>:</w:t>
      </w:r>
      <w:r w:rsidR="001077B8" w:rsidRPr="00A376F2">
        <w:rPr>
          <w:rFonts w:cstheme="minorHAnsi"/>
        </w:rPr>
        <w:t xml:space="preserve"> </w:t>
      </w:r>
    </w:p>
    <w:p w14:paraId="55E940A1" w14:textId="77777777" w:rsidR="00114396" w:rsidRDefault="00114396" w:rsidP="00256410">
      <w:pPr>
        <w:pStyle w:val="ListParagraph"/>
        <w:numPr>
          <w:ilvl w:val="2"/>
          <w:numId w:val="11"/>
        </w:numPr>
        <w:spacing w:after="0" w:line="240" w:lineRule="auto"/>
        <w:rPr>
          <w:rFonts w:cstheme="minorHAnsi"/>
          <w:highlight w:val="lightGray"/>
        </w:rPr>
      </w:pPr>
      <w:r>
        <w:rPr>
          <w:rFonts w:cstheme="minorHAnsi"/>
          <w:highlight w:val="lightGray"/>
        </w:rPr>
        <w:t>T</w:t>
      </w:r>
      <w:r w:rsidR="001077B8" w:rsidRPr="00114396">
        <w:rPr>
          <w:rFonts w:cstheme="minorHAnsi"/>
          <w:highlight w:val="lightGray"/>
        </w:rPr>
        <w:t>he GI symptom intensity scales are not validated</w:t>
      </w:r>
    </w:p>
    <w:p w14:paraId="35B3BEC5" w14:textId="7C39733E" w:rsidR="00114396" w:rsidRDefault="00071170" w:rsidP="00256410">
      <w:pPr>
        <w:pStyle w:val="ListParagraph"/>
        <w:numPr>
          <w:ilvl w:val="2"/>
          <w:numId w:val="11"/>
        </w:numPr>
        <w:spacing w:after="0" w:line="240" w:lineRule="auto"/>
        <w:rPr>
          <w:rFonts w:cstheme="minorHAnsi"/>
          <w:highlight w:val="lightGray"/>
        </w:rPr>
      </w:pPr>
      <w:r>
        <w:rPr>
          <w:rFonts w:cstheme="minorHAnsi"/>
          <w:highlight w:val="lightGray"/>
        </w:rPr>
        <w:t>R</w:t>
      </w:r>
      <w:r w:rsidR="001077B8" w:rsidRPr="00114396">
        <w:rPr>
          <w:rFonts w:cstheme="minorHAnsi"/>
          <w:highlight w:val="lightGray"/>
        </w:rPr>
        <w:t xml:space="preserve">esults should be interpreted with </w:t>
      </w:r>
      <w:r w:rsidR="00114396" w:rsidRPr="00114396">
        <w:rPr>
          <w:rFonts w:cstheme="minorHAnsi"/>
          <w:highlight w:val="lightGray"/>
        </w:rPr>
        <w:t>caution</w:t>
      </w:r>
      <w:r w:rsidR="001077B8" w:rsidRPr="00114396">
        <w:rPr>
          <w:rFonts w:cstheme="minorHAnsi"/>
          <w:highlight w:val="lightGray"/>
        </w:rPr>
        <w:t xml:space="preserve"> due to the 5-week duration</w:t>
      </w:r>
    </w:p>
    <w:p w14:paraId="1FB80AFE" w14:textId="5352B06E" w:rsidR="00114396" w:rsidRPr="00114396" w:rsidRDefault="00114396" w:rsidP="00256410">
      <w:pPr>
        <w:pStyle w:val="ListParagraph"/>
        <w:numPr>
          <w:ilvl w:val="2"/>
          <w:numId w:val="11"/>
        </w:numPr>
        <w:spacing w:after="0" w:line="240" w:lineRule="auto"/>
        <w:rPr>
          <w:rFonts w:cstheme="minorHAnsi"/>
          <w:highlight w:val="lightGray"/>
        </w:rPr>
      </w:pPr>
      <w:r>
        <w:rPr>
          <w:rFonts w:cstheme="minorHAnsi"/>
          <w:highlight w:val="lightGray"/>
        </w:rPr>
        <w:t>P</w:t>
      </w:r>
      <w:r w:rsidR="001077B8" w:rsidRPr="00114396">
        <w:rPr>
          <w:rFonts w:cstheme="minorHAnsi"/>
          <w:highlight w:val="lightGray"/>
        </w:rPr>
        <w:t xml:space="preserve">atients were excluded if they had a history of GI surgery, clinically significant </w:t>
      </w:r>
      <w:r w:rsidR="00071170" w:rsidRPr="00114396">
        <w:rPr>
          <w:rFonts w:cstheme="minorHAnsi"/>
          <w:highlight w:val="lightGray"/>
        </w:rPr>
        <w:t>recurring</w:t>
      </w:r>
      <w:r w:rsidR="001077B8" w:rsidRPr="00114396">
        <w:rPr>
          <w:rFonts w:cstheme="minorHAnsi"/>
          <w:highlight w:val="lightGray"/>
        </w:rPr>
        <w:t xml:space="preserve"> or active GI symptoms within </w:t>
      </w:r>
      <w:r w:rsidR="00071170">
        <w:rPr>
          <w:rFonts w:cstheme="minorHAnsi"/>
          <w:highlight w:val="lightGray"/>
        </w:rPr>
        <w:t>3</w:t>
      </w:r>
      <w:r w:rsidR="001077B8" w:rsidRPr="00114396">
        <w:rPr>
          <w:rFonts w:cstheme="minorHAnsi"/>
          <w:highlight w:val="lightGray"/>
        </w:rPr>
        <w:t xml:space="preserve"> months of screening, or chronic use of medical therapy to treat GI symptoms within 1 month of screening</w:t>
      </w:r>
    </w:p>
    <w:p w14:paraId="138A7F7B" w14:textId="6097E0DD" w:rsidR="001077B8" w:rsidRDefault="00114396" w:rsidP="00256410">
      <w:pPr>
        <w:pStyle w:val="ListParagraph"/>
        <w:numPr>
          <w:ilvl w:val="2"/>
          <w:numId w:val="11"/>
        </w:numPr>
        <w:spacing w:after="0" w:line="240" w:lineRule="auto"/>
        <w:rPr>
          <w:rFonts w:cstheme="minorHAnsi"/>
          <w:highlight w:val="lightGray"/>
        </w:rPr>
      </w:pPr>
      <w:r>
        <w:rPr>
          <w:rFonts w:cstheme="minorHAnsi"/>
          <w:highlight w:val="lightGray"/>
        </w:rPr>
        <w:t>R</w:t>
      </w:r>
      <w:r w:rsidR="001077B8">
        <w:rPr>
          <w:rFonts w:cstheme="minorHAnsi"/>
          <w:highlight w:val="lightGray"/>
        </w:rPr>
        <w:t xml:space="preserve">esults from this study are not included in the </w:t>
      </w:r>
      <w:r>
        <w:rPr>
          <w:rFonts w:cstheme="minorHAnsi"/>
          <w:highlight w:val="lightGray"/>
        </w:rPr>
        <w:t xml:space="preserve">full Prescribing Information for VUMERITY. The FDA did not consider the results of this study when approving VUMERITY </w:t>
      </w:r>
    </w:p>
    <w:p w14:paraId="669ADA4B" w14:textId="77777777" w:rsidR="00AF38CA" w:rsidRPr="00A376F2" w:rsidRDefault="00AF38CA" w:rsidP="00AF38CA">
      <w:pPr>
        <w:pStyle w:val="ListParagraph"/>
        <w:numPr>
          <w:ilvl w:val="1"/>
          <w:numId w:val="11"/>
        </w:numPr>
        <w:spacing w:after="0" w:line="240" w:lineRule="auto"/>
        <w:rPr>
          <w:rFonts w:cstheme="minorHAnsi"/>
        </w:rPr>
      </w:pPr>
      <w:r w:rsidRPr="00A376F2">
        <w:rPr>
          <w:rFonts w:cstheme="minorHAnsi"/>
          <w:highlight w:val="lightGray"/>
        </w:rPr>
        <w:t>The terminal half-life of MMF is approximately 1 hour, and accumulation of MMF does not occur with multiple doses of VUMERITY.</w:t>
      </w:r>
      <w:r w:rsidRPr="00A376F2">
        <w:rPr>
          <w:rFonts w:cstheme="minorHAnsi"/>
          <w:highlight w:val="lightGray"/>
          <w:vertAlign w:val="superscript"/>
        </w:rPr>
        <w:t>1</w:t>
      </w:r>
      <w:r w:rsidRPr="00A376F2">
        <w:rPr>
          <w:rFonts w:cstheme="minorHAnsi"/>
          <w:highlight w:val="lightGray"/>
        </w:rPr>
        <w:t>]</w:t>
      </w:r>
      <w:r w:rsidRPr="00A376F2">
        <w:rPr>
          <w:rFonts w:cstheme="minorHAnsi"/>
        </w:rPr>
        <w:t xml:space="preserve"> </w:t>
      </w:r>
    </w:p>
    <w:p w14:paraId="38B3DD01" w14:textId="3CA405C7" w:rsidR="00BB2BBE" w:rsidRPr="007576B6" w:rsidRDefault="00BB2BBE" w:rsidP="00256410">
      <w:pPr>
        <w:pStyle w:val="ListParagraph"/>
        <w:numPr>
          <w:ilvl w:val="0"/>
          <w:numId w:val="11"/>
        </w:numPr>
        <w:spacing w:after="0" w:line="240" w:lineRule="auto"/>
        <w:rPr>
          <w:rFonts w:cstheme="minorHAnsi"/>
        </w:rPr>
      </w:pPr>
      <w:r w:rsidRPr="007576B6">
        <w:rPr>
          <w:rFonts w:cstheme="minorHAnsi"/>
          <w:highlight w:val="lightGray"/>
        </w:rPr>
        <w:t>[Additional reason(s) why VUMERITY is the most appropriate treatment for this patient based on medical history</w:t>
      </w:r>
      <w:r w:rsidR="00CA394B">
        <w:rPr>
          <w:rFonts w:cstheme="minorHAnsi"/>
          <w:highlight w:val="lightGray"/>
        </w:rPr>
        <w:t xml:space="preserve"> and comorbidities</w:t>
      </w:r>
      <w:r w:rsidR="00DB464D">
        <w:rPr>
          <w:rFonts w:cstheme="minorHAnsi"/>
          <w:highlight w:val="lightGray"/>
        </w:rPr>
        <w:t xml:space="preserve"> (heart disease, hypertension, liver disease, etc)</w:t>
      </w:r>
      <w:r w:rsidR="00CA394B">
        <w:rPr>
          <w:rFonts w:cstheme="minorHAnsi"/>
          <w:highlight w:val="lightGray"/>
        </w:rPr>
        <w:t>,</w:t>
      </w:r>
      <w:r w:rsidRPr="007576B6">
        <w:rPr>
          <w:rFonts w:cstheme="minorHAnsi"/>
          <w:highlight w:val="lightGray"/>
        </w:rPr>
        <w:t xml:space="preserve"> MRI data, history of relapses, or EDSS history]</w:t>
      </w:r>
    </w:p>
    <w:p w14:paraId="14223DE1" w14:textId="77777777" w:rsidR="00256410" w:rsidRDefault="00256410" w:rsidP="00BB2BBE">
      <w:pPr>
        <w:contextualSpacing/>
        <w:rPr>
          <w:rFonts w:cstheme="minorHAnsi"/>
          <w:sz w:val="22"/>
          <w:szCs w:val="22"/>
        </w:rPr>
      </w:pPr>
    </w:p>
    <w:p w14:paraId="0EF2C448" w14:textId="098D25A5" w:rsidR="00BB2BBE" w:rsidRPr="007576B6" w:rsidRDefault="00BB2BBE" w:rsidP="00BB2BBE">
      <w:pPr>
        <w:contextualSpacing/>
        <w:rPr>
          <w:rFonts w:cstheme="minorHAnsi"/>
          <w:sz w:val="22"/>
          <w:szCs w:val="22"/>
          <w:highlight w:val="lightGray"/>
        </w:rPr>
      </w:pPr>
      <w:r w:rsidRPr="007576B6">
        <w:rPr>
          <w:rFonts w:cstheme="minorHAnsi"/>
          <w:sz w:val="22"/>
          <w:szCs w:val="22"/>
        </w:rPr>
        <w:t xml:space="preserve">I ask that you review any clinical information submitted regarding the patient when considering this request, as well as </w:t>
      </w:r>
      <w:r w:rsidR="002D1AFB">
        <w:rPr>
          <w:rFonts w:cstheme="minorHAnsi"/>
          <w:sz w:val="22"/>
          <w:szCs w:val="22"/>
        </w:rPr>
        <w:t>review</w:t>
      </w:r>
      <w:r w:rsidRPr="007576B6">
        <w:rPr>
          <w:rFonts w:cstheme="minorHAnsi"/>
          <w:sz w:val="22"/>
          <w:szCs w:val="22"/>
        </w:rPr>
        <w:t xml:space="preserve"> clinical guidelines and recent clinical trial results. I have indicated the additional information submitted with this letter below:</w:t>
      </w:r>
    </w:p>
    <w:p w14:paraId="1260BB00" w14:textId="508EFBA9" w:rsidR="00BB2BBE" w:rsidRPr="007576B6" w:rsidRDefault="00BB2BBE" w:rsidP="00BB2BBE">
      <w:pPr>
        <w:ind w:left="720" w:hanging="360"/>
        <w:contextualSpacing/>
        <w:rPr>
          <w:rFonts w:cstheme="minorHAnsi"/>
          <w:sz w:val="22"/>
          <w:szCs w:val="22"/>
          <w:highlight w:val="lightGray"/>
        </w:rPr>
      </w:pPr>
      <w:r w:rsidRPr="007576B6">
        <w:rPr>
          <w:rFonts w:cstheme="minorHAnsi"/>
          <w:sz w:val="22"/>
          <w:szCs w:val="22"/>
          <w:highlight w:val="lightGray"/>
        </w:rPr>
        <w:t>[</w:t>
      </w:r>
      <w:sdt>
        <w:sdtPr>
          <w:rPr>
            <w:rFonts w:cstheme="minorHAnsi"/>
            <w:sz w:val="22"/>
            <w:szCs w:val="22"/>
            <w:highlight w:val="lightGray"/>
          </w:rPr>
          <w:id w:val="1573237557"/>
          <w14:checkbox>
            <w14:checked w14:val="0"/>
            <w14:checkedState w14:val="2612" w14:font="MS Gothic"/>
            <w14:uncheckedState w14:val="2610" w14:font="MS Gothic"/>
          </w14:checkbox>
        </w:sdtPr>
        <w:sdtContent>
          <w:r w:rsidRPr="007576B6">
            <w:rPr>
              <w:rFonts w:ascii="Segoe UI Symbol" w:eastAsia="MS Mincho" w:hAnsi="Segoe UI Symbol" w:cs="Segoe UI Symbol"/>
              <w:sz w:val="22"/>
              <w:szCs w:val="22"/>
              <w:highlight w:val="lightGray"/>
            </w:rPr>
            <w:t>☐</w:t>
          </w:r>
        </w:sdtContent>
      </w:sdt>
      <w:r w:rsidRPr="007576B6">
        <w:rPr>
          <w:rFonts w:cstheme="minorHAnsi"/>
          <w:sz w:val="22"/>
          <w:szCs w:val="22"/>
          <w:highlight w:val="lightGray"/>
        </w:rPr>
        <w:t xml:space="preserve"> Relevant medication history and/or chart notes describing previous therapies and specific outcomes</w:t>
      </w:r>
    </w:p>
    <w:p w14:paraId="31245367" w14:textId="17CE3048" w:rsidR="00BB2BBE" w:rsidRPr="007576B6" w:rsidRDefault="00000000" w:rsidP="00BB2BBE">
      <w:pPr>
        <w:ind w:left="720" w:hanging="360"/>
        <w:contextualSpacing/>
        <w:rPr>
          <w:rFonts w:cstheme="minorHAnsi"/>
          <w:sz w:val="22"/>
          <w:szCs w:val="22"/>
          <w:highlight w:val="lightGray"/>
        </w:rPr>
      </w:pPr>
      <w:sdt>
        <w:sdtPr>
          <w:rPr>
            <w:rFonts w:cstheme="minorHAnsi"/>
            <w:sz w:val="22"/>
            <w:szCs w:val="22"/>
            <w:highlight w:val="lightGray"/>
          </w:rPr>
          <w:id w:val="890611008"/>
          <w14:checkbox>
            <w14:checked w14:val="0"/>
            <w14:checkedState w14:val="2612" w14:font="MS Gothic"/>
            <w14:uncheckedState w14:val="2610" w14:font="MS Gothic"/>
          </w14:checkbox>
        </w:sdtPr>
        <w:sdtContent>
          <w:r w:rsidR="00BB2BBE" w:rsidRPr="007576B6">
            <w:rPr>
              <w:rFonts w:ascii="Segoe UI Symbol" w:eastAsia="MS Mincho" w:hAnsi="Segoe UI Symbol" w:cs="Segoe UI Symbol"/>
              <w:sz w:val="22"/>
              <w:szCs w:val="22"/>
              <w:highlight w:val="lightGray"/>
            </w:rPr>
            <w:t>☐</w:t>
          </w:r>
        </w:sdtContent>
      </w:sdt>
      <w:r w:rsidR="00BB2BBE" w:rsidRPr="007576B6">
        <w:rPr>
          <w:rFonts w:cstheme="minorHAnsi"/>
          <w:sz w:val="22"/>
          <w:szCs w:val="22"/>
          <w:highlight w:val="lightGray"/>
        </w:rPr>
        <w:t xml:space="preserve"> MRI data </w:t>
      </w:r>
    </w:p>
    <w:p w14:paraId="59A06D1C" w14:textId="21B4BAC8" w:rsidR="00BB2BBE" w:rsidRPr="007576B6" w:rsidRDefault="00000000" w:rsidP="00BB2BBE">
      <w:pPr>
        <w:ind w:left="720" w:hanging="360"/>
        <w:contextualSpacing/>
        <w:rPr>
          <w:rFonts w:cstheme="minorHAnsi"/>
          <w:sz w:val="22"/>
          <w:szCs w:val="22"/>
          <w:highlight w:val="lightGray"/>
        </w:rPr>
      </w:pPr>
      <w:sdt>
        <w:sdtPr>
          <w:rPr>
            <w:rFonts w:cstheme="minorHAnsi"/>
            <w:sz w:val="22"/>
            <w:szCs w:val="22"/>
            <w:highlight w:val="lightGray"/>
          </w:rPr>
          <w:id w:val="-1447531764"/>
          <w14:checkbox>
            <w14:checked w14:val="0"/>
            <w14:checkedState w14:val="2612" w14:font="MS Gothic"/>
            <w14:uncheckedState w14:val="2610" w14:font="MS Gothic"/>
          </w14:checkbox>
        </w:sdtPr>
        <w:sdtContent>
          <w:r w:rsidR="00BB2BBE" w:rsidRPr="007576B6">
            <w:rPr>
              <w:rFonts w:ascii="Segoe UI Symbol" w:eastAsia="MS Mincho" w:hAnsi="Segoe UI Symbol" w:cs="Segoe UI Symbol"/>
              <w:sz w:val="22"/>
              <w:szCs w:val="22"/>
              <w:highlight w:val="lightGray"/>
            </w:rPr>
            <w:t>☐</w:t>
          </w:r>
        </w:sdtContent>
      </w:sdt>
      <w:r w:rsidR="00BB2BBE" w:rsidRPr="007576B6">
        <w:rPr>
          <w:rFonts w:cstheme="minorHAnsi"/>
          <w:sz w:val="22"/>
          <w:szCs w:val="22"/>
          <w:highlight w:val="lightGray"/>
        </w:rPr>
        <w:t xml:space="preserve"> Patient’s history of relapses </w:t>
      </w:r>
    </w:p>
    <w:p w14:paraId="7A86AB14" w14:textId="687410F5" w:rsidR="00BB2BBE" w:rsidRPr="007576B6" w:rsidRDefault="00000000" w:rsidP="00BB2BBE">
      <w:pPr>
        <w:ind w:left="360"/>
        <w:contextualSpacing/>
        <w:rPr>
          <w:rFonts w:cstheme="minorHAnsi"/>
          <w:sz w:val="22"/>
          <w:szCs w:val="22"/>
          <w:highlight w:val="lightGray"/>
        </w:rPr>
      </w:pPr>
      <w:sdt>
        <w:sdtPr>
          <w:rPr>
            <w:rFonts w:cstheme="minorHAnsi"/>
            <w:sz w:val="22"/>
            <w:szCs w:val="22"/>
            <w:highlight w:val="lightGray"/>
          </w:rPr>
          <w:id w:val="-1948909439"/>
          <w14:checkbox>
            <w14:checked w14:val="0"/>
            <w14:checkedState w14:val="2612" w14:font="MS Gothic"/>
            <w14:uncheckedState w14:val="2610" w14:font="MS Gothic"/>
          </w14:checkbox>
        </w:sdtPr>
        <w:sdtContent>
          <w:r w:rsidR="00BB2BBE" w:rsidRPr="007576B6">
            <w:rPr>
              <w:rFonts w:ascii="Segoe UI Symbol" w:eastAsia="MS Mincho" w:hAnsi="Segoe UI Symbol" w:cs="Segoe UI Symbol"/>
              <w:sz w:val="22"/>
              <w:szCs w:val="22"/>
              <w:highlight w:val="lightGray"/>
            </w:rPr>
            <w:t>☐</w:t>
          </w:r>
        </w:sdtContent>
      </w:sdt>
      <w:r w:rsidR="00BB2BBE" w:rsidRPr="007576B6">
        <w:rPr>
          <w:rFonts w:cstheme="minorHAnsi"/>
          <w:sz w:val="22"/>
          <w:szCs w:val="22"/>
          <w:highlight w:val="lightGray"/>
        </w:rPr>
        <w:t xml:space="preserve"> EDSS history </w:t>
      </w:r>
    </w:p>
    <w:p w14:paraId="1B5E0B4A" w14:textId="7D24BE11" w:rsidR="00BB2BBE" w:rsidRPr="007576B6" w:rsidRDefault="00000000" w:rsidP="00BB2BBE">
      <w:pPr>
        <w:ind w:left="360"/>
        <w:contextualSpacing/>
        <w:rPr>
          <w:rFonts w:cstheme="minorHAnsi"/>
          <w:sz w:val="22"/>
          <w:szCs w:val="22"/>
        </w:rPr>
      </w:pPr>
      <w:sdt>
        <w:sdtPr>
          <w:rPr>
            <w:rFonts w:cstheme="minorHAnsi"/>
            <w:sz w:val="22"/>
            <w:szCs w:val="22"/>
            <w:highlight w:val="lightGray"/>
          </w:rPr>
          <w:id w:val="-34653778"/>
          <w14:checkbox>
            <w14:checked w14:val="0"/>
            <w14:checkedState w14:val="2612" w14:font="MS Gothic"/>
            <w14:uncheckedState w14:val="2610" w14:font="MS Gothic"/>
          </w14:checkbox>
        </w:sdtPr>
        <w:sdtContent>
          <w:r w:rsidR="00BB2BBE" w:rsidRPr="007576B6">
            <w:rPr>
              <w:rFonts w:ascii="Segoe UI Symbol" w:eastAsia="MS Mincho" w:hAnsi="Segoe UI Symbol" w:cs="Segoe UI Symbol"/>
              <w:sz w:val="22"/>
              <w:szCs w:val="22"/>
              <w:highlight w:val="lightGray"/>
            </w:rPr>
            <w:t>☐</w:t>
          </w:r>
        </w:sdtContent>
      </w:sdt>
      <w:r w:rsidR="00BB2BBE" w:rsidRPr="007576B6">
        <w:rPr>
          <w:rFonts w:cstheme="minorHAnsi"/>
          <w:sz w:val="22"/>
          <w:szCs w:val="22"/>
          <w:highlight w:val="lightGray"/>
        </w:rPr>
        <w:t xml:space="preserve"> Supporting literature (</w:t>
      </w:r>
      <w:proofErr w:type="spellStart"/>
      <w:r w:rsidR="00BB2BBE" w:rsidRPr="007576B6">
        <w:rPr>
          <w:rFonts w:cstheme="minorHAnsi"/>
          <w:sz w:val="22"/>
          <w:szCs w:val="22"/>
          <w:highlight w:val="lightGray"/>
        </w:rPr>
        <w:t>eg</w:t>
      </w:r>
      <w:proofErr w:type="spellEnd"/>
      <w:r w:rsidR="00BB2BBE" w:rsidRPr="007576B6">
        <w:rPr>
          <w:rFonts w:cstheme="minorHAnsi"/>
          <w:sz w:val="22"/>
          <w:szCs w:val="22"/>
          <w:highlight w:val="lightGray"/>
        </w:rPr>
        <w:t>, clinical guidelines, recent clinical trials, etc)]</w:t>
      </w:r>
    </w:p>
    <w:p w14:paraId="01E3D474" w14:textId="77777777" w:rsidR="00BB2BBE" w:rsidRPr="007576B6" w:rsidRDefault="00BB2BBE" w:rsidP="00BB2BBE">
      <w:pPr>
        <w:rPr>
          <w:rFonts w:cstheme="minorHAnsi"/>
          <w:sz w:val="22"/>
          <w:szCs w:val="22"/>
        </w:rPr>
      </w:pPr>
    </w:p>
    <w:p w14:paraId="1C5A0CF5" w14:textId="0308F554" w:rsidR="00BB2BBE" w:rsidRPr="007576B6" w:rsidRDefault="00BB2BBE" w:rsidP="00BB2BBE">
      <w:pPr>
        <w:rPr>
          <w:rFonts w:cstheme="minorHAnsi"/>
          <w:sz w:val="22"/>
          <w:szCs w:val="22"/>
        </w:rPr>
      </w:pPr>
      <w:r w:rsidRPr="007576B6">
        <w:rPr>
          <w:rFonts w:cstheme="minorHAnsi"/>
          <w:sz w:val="22"/>
          <w:szCs w:val="22"/>
        </w:rPr>
        <w:t xml:space="preserve">In summary, please </w:t>
      </w:r>
      <w:r w:rsidR="00AC1B75">
        <w:rPr>
          <w:rFonts w:cstheme="minorHAnsi"/>
          <w:sz w:val="22"/>
          <w:szCs w:val="22"/>
        </w:rPr>
        <w:t>approve coverage</w:t>
      </w:r>
      <w:r w:rsidRPr="007576B6">
        <w:rPr>
          <w:rFonts w:cstheme="minorHAnsi"/>
          <w:sz w:val="22"/>
          <w:szCs w:val="22"/>
        </w:rPr>
        <w:t xml:space="preserve"> of VUMERITY for </w:t>
      </w:r>
      <w:r w:rsidR="00A9232D">
        <w:rPr>
          <w:rFonts w:cstheme="minorHAnsi"/>
          <w:sz w:val="22"/>
          <w:szCs w:val="22"/>
        </w:rPr>
        <w:t xml:space="preserve">the </w:t>
      </w:r>
      <w:r w:rsidRPr="007576B6">
        <w:rPr>
          <w:rFonts w:cstheme="minorHAnsi"/>
          <w:sz w:val="22"/>
          <w:szCs w:val="22"/>
        </w:rPr>
        <w:t xml:space="preserve">patient, </w:t>
      </w:r>
      <w:r w:rsidRPr="007576B6">
        <w:rPr>
          <w:rFonts w:cstheme="minorHAnsi"/>
          <w:sz w:val="22"/>
          <w:szCs w:val="22"/>
          <w:highlight w:val="lightGray"/>
        </w:rPr>
        <w:t>[Patient Name]</w:t>
      </w:r>
      <w:r w:rsidRPr="007576B6">
        <w:rPr>
          <w:rFonts w:cstheme="minorHAnsi"/>
          <w:sz w:val="22"/>
          <w:szCs w:val="22"/>
        </w:rPr>
        <w:t>. I would appreciate prompt review of this appeal, as starting VUMERITY immediately is warranted, appropriate, and medically necessary.</w:t>
      </w:r>
    </w:p>
    <w:p w14:paraId="45AFC9EE" w14:textId="77777777" w:rsidR="00BB2BBE" w:rsidRPr="007576B6" w:rsidRDefault="00BB2BBE" w:rsidP="00BB2BBE">
      <w:pPr>
        <w:rPr>
          <w:rFonts w:cstheme="minorHAnsi"/>
          <w:sz w:val="22"/>
          <w:szCs w:val="22"/>
        </w:rPr>
      </w:pPr>
    </w:p>
    <w:p w14:paraId="03E27F6A" w14:textId="250D65B0" w:rsidR="00BB2BBE" w:rsidRPr="007576B6" w:rsidRDefault="00BB2BBE" w:rsidP="00BB2BBE">
      <w:pPr>
        <w:rPr>
          <w:rFonts w:cstheme="minorHAnsi"/>
          <w:sz w:val="22"/>
          <w:szCs w:val="22"/>
        </w:rPr>
      </w:pPr>
      <w:r w:rsidRPr="007576B6">
        <w:rPr>
          <w:rFonts w:cstheme="minorHAnsi"/>
          <w:sz w:val="22"/>
          <w:szCs w:val="22"/>
        </w:rPr>
        <w:t>In the case that this appeal is denied, I am also at this time requesting a peer</w:t>
      </w:r>
      <w:r w:rsidR="00E8253E">
        <w:rPr>
          <w:rFonts w:cstheme="minorHAnsi"/>
          <w:sz w:val="22"/>
          <w:szCs w:val="22"/>
        </w:rPr>
        <w:t>-</w:t>
      </w:r>
      <w:r w:rsidRPr="007576B6">
        <w:rPr>
          <w:rFonts w:cstheme="minorHAnsi"/>
          <w:sz w:val="22"/>
          <w:szCs w:val="22"/>
        </w:rPr>
        <w:t>to</w:t>
      </w:r>
      <w:r w:rsidR="00E8253E">
        <w:rPr>
          <w:rFonts w:cstheme="minorHAnsi"/>
          <w:sz w:val="22"/>
          <w:szCs w:val="22"/>
        </w:rPr>
        <w:t>-</w:t>
      </w:r>
      <w:r w:rsidRPr="007576B6">
        <w:rPr>
          <w:rFonts w:cstheme="minorHAnsi"/>
          <w:sz w:val="22"/>
          <w:szCs w:val="22"/>
        </w:rPr>
        <w:t>peer discussion with a plan Medical Director</w:t>
      </w:r>
      <w:r w:rsidR="00D15908">
        <w:rPr>
          <w:rFonts w:cstheme="minorHAnsi"/>
          <w:sz w:val="22"/>
          <w:szCs w:val="22"/>
        </w:rPr>
        <w:t xml:space="preserve"> </w:t>
      </w:r>
      <w:r w:rsidR="00A07910">
        <w:rPr>
          <w:rFonts w:cstheme="minorHAnsi"/>
          <w:sz w:val="22"/>
          <w:szCs w:val="22"/>
        </w:rPr>
        <w:t>of the</w:t>
      </w:r>
      <w:r w:rsidR="00A07910" w:rsidRPr="00673BD1">
        <w:rPr>
          <w:rFonts w:cstheme="minorHAnsi"/>
          <w:sz w:val="22"/>
          <w:szCs w:val="22"/>
        </w:rPr>
        <w:t xml:space="preserve"> same or similar specialty </w:t>
      </w:r>
      <w:r w:rsidR="00A07910">
        <w:rPr>
          <w:rFonts w:cstheme="minorHAnsi"/>
          <w:sz w:val="22"/>
          <w:szCs w:val="22"/>
        </w:rPr>
        <w:t xml:space="preserve">as myself, </w:t>
      </w:r>
      <w:r w:rsidR="00A07910" w:rsidRPr="00673BD1">
        <w:rPr>
          <w:rFonts w:cstheme="minorHAnsi"/>
          <w:sz w:val="22"/>
          <w:szCs w:val="22"/>
        </w:rPr>
        <w:t xml:space="preserve">who typically manages the </w:t>
      </w:r>
      <w:r w:rsidR="00A07910">
        <w:rPr>
          <w:rFonts w:cstheme="minorHAnsi"/>
          <w:sz w:val="22"/>
          <w:szCs w:val="22"/>
        </w:rPr>
        <w:t>same or similar conditions and/or treatments</w:t>
      </w:r>
      <w:r w:rsidR="00A07910" w:rsidRPr="00673BD1">
        <w:rPr>
          <w:rFonts w:cstheme="minorHAnsi"/>
          <w:sz w:val="22"/>
          <w:szCs w:val="22"/>
        </w:rPr>
        <w:t xml:space="preserve">. </w:t>
      </w:r>
      <w:r w:rsidRPr="007576B6">
        <w:rPr>
          <w:rFonts w:cstheme="minorHAnsi"/>
          <w:sz w:val="22"/>
          <w:szCs w:val="22"/>
        </w:rPr>
        <w:t xml:space="preserve">Please contact me if you require further information regarding this request. I look forward to your response as soon as possible. </w:t>
      </w:r>
    </w:p>
    <w:p w14:paraId="233EB1B8" w14:textId="77777777" w:rsidR="00BB2BBE" w:rsidRPr="007576B6" w:rsidRDefault="00BB2BBE" w:rsidP="00BB2BBE">
      <w:pPr>
        <w:spacing w:after="60"/>
        <w:rPr>
          <w:rFonts w:cstheme="minorHAnsi"/>
          <w:sz w:val="22"/>
          <w:szCs w:val="22"/>
        </w:rPr>
      </w:pPr>
    </w:p>
    <w:p w14:paraId="373499C4" w14:textId="77777777" w:rsidR="00BB2BBE" w:rsidRPr="007576B6" w:rsidRDefault="00BB2BBE" w:rsidP="00BB2BBE">
      <w:pPr>
        <w:rPr>
          <w:rFonts w:cstheme="minorHAnsi"/>
          <w:sz w:val="22"/>
          <w:szCs w:val="22"/>
        </w:rPr>
      </w:pPr>
      <w:r w:rsidRPr="007576B6">
        <w:rPr>
          <w:rFonts w:cstheme="minorHAnsi"/>
          <w:sz w:val="22"/>
          <w:szCs w:val="22"/>
        </w:rPr>
        <w:t>Sincerely,</w:t>
      </w:r>
    </w:p>
    <w:p w14:paraId="77FBB756" w14:textId="77777777" w:rsidR="00BB2BBE" w:rsidRPr="007576B6" w:rsidRDefault="00BB2BBE" w:rsidP="00BB2BBE">
      <w:pPr>
        <w:rPr>
          <w:rFonts w:cstheme="minorHAnsi"/>
          <w:sz w:val="22"/>
          <w:szCs w:val="22"/>
        </w:rPr>
      </w:pPr>
    </w:p>
    <w:p w14:paraId="0EB554DB" w14:textId="77777777" w:rsidR="00BB2BBE" w:rsidRPr="007576B6" w:rsidRDefault="00BB2BBE" w:rsidP="00BB2BBE">
      <w:pPr>
        <w:rPr>
          <w:rFonts w:cstheme="minorHAnsi"/>
          <w:sz w:val="22"/>
          <w:szCs w:val="22"/>
        </w:rPr>
      </w:pPr>
      <w:r w:rsidRPr="007576B6">
        <w:rPr>
          <w:rFonts w:cstheme="minorHAnsi"/>
          <w:sz w:val="22"/>
          <w:szCs w:val="22"/>
          <w:highlight w:val="lightGray"/>
        </w:rPr>
        <w:t>[Prescriber Name]</w:t>
      </w:r>
    </w:p>
    <w:p w14:paraId="5D851DB7" w14:textId="77777777" w:rsidR="00BB2BBE" w:rsidRPr="007576B6" w:rsidRDefault="00BB2BBE" w:rsidP="00BB2BBE">
      <w:pPr>
        <w:rPr>
          <w:rFonts w:cstheme="minorHAnsi"/>
          <w:sz w:val="22"/>
          <w:szCs w:val="22"/>
          <w:highlight w:val="lightGray"/>
        </w:rPr>
      </w:pPr>
      <w:r w:rsidRPr="007576B6">
        <w:rPr>
          <w:rFonts w:cstheme="minorHAnsi"/>
          <w:sz w:val="22"/>
          <w:szCs w:val="22"/>
          <w:highlight w:val="lightGray"/>
        </w:rPr>
        <w:t>[Prescriber Specialty]</w:t>
      </w:r>
    </w:p>
    <w:p w14:paraId="56D1CC3F" w14:textId="77777777" w:rsidR="00BB2BBE" w:rsidRPr="007576B6" w:rsidRDefault="00BB2BBE" w:rsidP="00BB2BBE">
      <w:pPr>
        <w:rPr>
          <w:rFonts w:cstheme="minorHAnsi"/>
          <w:sz w:val="22"/>
          <w:szCs w:val="22"/>
        </w:rPr>
      </w:pPr>
      <w:r w:rsidRPr="007576B6">
        <w:rPr>
          <w:rFonts w:cstheme="minorHAnsi"/>
          <w:sz w:val="22"/>
          <w:szCs w:val="22"/>
          <w:highlight w:val="lightGray"/>
        </w:rPr>
        <w:t>[Prescriber Contact Info]</w:t>
      </w:r>
    </w:p>
    <w:p w14:paraId="1F861084" w14:textId="6F4CFD9D" w:rsidR="00BB2BBE" w:rsidRPr="007576B6" w:rsidRDefault="00BB2BBE" w:rsidP="00DA4E0A">
      <w:pPr>
        <w:keepNext/>
        <w:rPr>
          <w:rFonts w:cstheme="minorHAnsi"/>
          <w:b/>
          <w:bCs/>
          <w:color w:val="000000" w:themeColor="text1"/>
          <w:sz w:val="22"/>
          <w:szCs w:val="22"/>
        </w:rPr>
      </w:pPr>
      <w:r w:rsidRPr="007576B6">
        <w:rPr>
          <w:rFonts w:cstheme="minorHAnsi"/>
          <w:b/>
          <w:bCs/>
          <w:color w:val="000000" w:themeColor="text1"/>
          <w:sz w:val="22"/>
          <w:szCs w:val="22"/>
        </w:rPr>
        <w:lastRenderedPageBreak/>
        <w:t>References</w:t>
      </w:r>
    </w:p>
    <w:p w14:paraId="753464C0" w14:textId="77777777" w:rsidR="00BB2BBE" w:rsidRPr="007576B6" w:rsidRDefault="00BB2BBE" w:rsidP="00BB2BBE">
      <w:pPr>
        <w:pStyle w:val="ListParagraph"/>
        <w:numPr>
          <w:ilvl w:val="0"/>
          <w:numId w:val="12"/>
        </w:numPr>
        <w:spacing w:after="0" w:line="240" w:lineRule="auto"/>
        <w:rPr>
          <w:rFonts w:eastAsia="Times New Roman" w:cstheme="minorHAnsi"/>
          <w:color w:val="000000" w:themeColor="text1"/>
        </w:rPr>
      </w:pPr>
      <w:r w:rsidRPr="007576B6">
        <w:rPr>
          <w:rFonts w:eastAsia="Times New Roman" w:cstheme="minorHAnsi"/>
          <w:color w:val="000000" w:themeColor="text1"/>
          <w:shd w:val="clear" w:color="auto" w:fill="FFFFFF"/>
        </w:rPr>
        <w:t>VUMERITY. Prescribing Information. Cambridge, MA: Biogen.</w:t>
      </w:r>
    </w:p>
    <w:p w14:paraId="184F5615" w14:textId="4B9D2F0A" w:rsidR="00AF38CA" w:rsidRPr="000F301A" w:rsidRDefault="00AF38CA" w:rsidP="00AF38CA">
      <w:pPr>
        <w:pStyle w:val="ListParagraph"/>
        <w:numPr>
          <w:ilvl w:val="0"/>
          <w:numId w:val="12"/>
        </w:numPr>
        <w:spacing w:after="0" w:line="240" w:lineRule="auto"/>
        <w:rPr>
          <w:rFonts w:eastAsia="Times New Roman" w:cstheme="minorHAnsi"/>
          <w:color w:val="000000" w:themeColor="text1"/>
          <w:highlight w:val="lightGray"/>
        </w:rPr>
      </w:pPr>
      <w:r w:rsidRPr="000F301A">
        <w:rPr>
          <w:rFonts w:eastAsia="Times New Roman" w:cstheme="minorHAnsi"/>
          <w:color w:val="000000" w:themeColor="text1"/>
          <w:highlight w:val="lightGray"/>
        </w:rPr>
        <w:t xml:space="preserve">Biogen. Biogen and Alkermes Announce FDA Approval of VUMERITY™ (diroximel fumarate) for Multiple Sclerosis. October 30, 2019. </w:t>
      </w:r>
      <w:r w:rsidRPr="000F301A">
        <w:rPr>
          <w:rFonts w:eastAsia="Times New Roman" w:cstheme="minorHAnsi"/>
          <w:highlight w:val="lightGray"/>
        </w:rPr>
        <w:t>https://investors.biogen.com/news-releases/news-release-details/biogen-and-alkermes-announce-fda-approval-vumeritytm-diroximel</w:t>
      </w:r>
      <w:r w:rsidRPr="000F301A">
        <w:rPr>
          <w:rFonts w:eastAsia="Times New Roman" w:cstheme="minorHAnsi"/>
          <w:color w:val="000000" w:themeColor="text1"/>
          <w:highlight w:val="lightGray"/>
        </w:rPr>
        <w:t xml:space="preserve">. Accessed </w:t>
      </w:r>
      <w:r w:rsidR="006D58D7">
        <w:rPr>
          <w:rFonts w:eastAsia="Times New Roman" w:cstheme="minorHAnsi"/>
          <w:color w:val="000000" w:themeColor="text1"/>
          <w:highlight w:val="lightGray"/>
        </w:rPr>
        <w:t>December 18, 2023</w:t>
      </w:r>
      <w:r w:rsidRPr="000F301A">
        <w:rPr>
          <w:rFonts w:eastAsia="Times New Roman" w:cstheme="minorHAnsi"/>
          <w:color w:val="000000" w:themeColor="text1"/>
          <w:highlight w:val="lightGray"/>
        </w:rPr>
        <w:t>.</w:t>
      </w:r>
    </w:p>
    <w:p w14:paraId="36A62C4F" w14:textId="77777777" w:rsidR="00AF38CA" w:rsidRPr="000F301A" w:rsidRDefault="00AF38CA" w:rsidP="00AF38CA">
      <w:pPr>
        <w:pStyle w:val="ListParagraph"/>
        <w:numPr>
          <w:ilvl w:val="0"/>
          <w:numId w:val="12"/>
        </w:numPr>
        <w:spacing w:after="0" w:line="240" w:lineRule="auto"/>
        <w:rPr>
          <w:rFonts w:eastAsia="Times New Roman" w:cstheme="minorHAnsi"/>
          <w:color w:val="000000" w:themeColor="text1"/>
          <w:highlight w:val="lightGray"/>
        </w:rPr>
      </w:pPr>
      <w:r w:rsidRPr="000F301A">
        <w:rPr>
          <w:rFonts w:eastAsia="Times New Roman" w:cstheme="minorHAnsi"/>
          <w:color w:val="000000" w:themeColor="text1"/>
          <w:highlight w:val="lightGray"/>
          <w:shd w:val="clear" w:color="auto" w:fill="FFFFFF"/>
        </w:rPr>
        <w:t xml:space="preserve">Naismith RT, Wundes A, Ziemssen T, et al. Diroximel fumarate demonstrates an improved gastrointestinal tolerability profile compared with dimethyl fumarate in patients with relapsing-remitting multiple sclerosis: Results from the randomized, double-blind, phase III EVOLVE-MS-2 study. </w:t>
      </w:r>
      <w:r w:rsidRPr="000F301A">
        <w:rPr>
          <w:rFonts w:eastAsia="Times New Roman" w:cstheme="minorHAnsi"/>
          <w:i/>
          <w:iCs/>
          <w:color w:val="000000" w:themeColor="text1"/>
          <w:highlight w:val="lightGray"/>
          <w:shd w:val="clear" w:color="auto" w:fill="FFFFFF"/>
        </w:rPr>
        <w:t>CNS Drugs.</w:t>
      </w:r>
      <w:r w:rsidRPr="000F301A">
        <w:rPr>
          <w:rFonts w:eastAsia="Times New Roman" w:cstheme="minorHAnsi"/>
          <w:color w:val="000000" w:themeColor="text1"/>
          <w:highlight w:val="lightGray"/>
          <w:shd w:val="clear" w:color="auto" w:fill="FFFFFF"/>
        </w:rPr>
        <w:t> 2020;34(2):185-196.*</w:t>
      </w:r>
    </w:p>
    <w:p w14:paraId="1FFEB3E2" w14:textId="77777777" w:rsidR="00AF38CA" w:rsidRPr="000F301A" w:rsidRDefault="00AF38CA" w:rsidP="00AF38CA">
      <w:pPr>
        <w:rPr>
          <w:rFonts w:eastAsia="Times New Roman" w:cstheme="minorHAnsi"/>
          <w:color w:val="000000" w:themeColor="text1"/>
          <w:highlight w:val="lightGray"/>
        </w:rPr>
      </w:pPr>
    </w:p>
    <w:p w14:paraId="0947AF22" w14:textId="77777777" w:rsidR="00AF38CA" w:rsidRPr="000F301A" w:rsidRDefault="00AF38CA" w:rsidP="00AF38CA">
      <w:pPr>
        <w:ind w:left="360"/>
        <w:rPr>
          <w:rFonts w:eastAsia="Times New Roman" w:cstheme="minorHAnsi"/>
          <w:color w:val="000000" w:themeColor="text1"/>
        </w:rPr>
      </w:pPr>
      <w:r w:rsidRPr="00AF38CA">
        <w:rPr>
          <w:rFonts w:eastAsia="Times New Roman" w:cstheme="minorHAnsi"/>
          <w:color w:val="000000" w:themeColor="text1"/>
          <w:sz w:val="22"/>
          <w:szCs w:val="22"/>
          <w:highlight w:val="lightGray"/>
        </w:rPr>
        <w:t>*This study was funded by Biogen</w:t>
      </w:r>
    </w:p>
    <w:p w14:paraId="67CBC9EA" w14:textId="16B77D51" w:rsidR="00427331" w:rsidRPr="00BB2BBE" w:rsidRDefault="00427331" w:rsidP="00AF38CA">
      <w:pPr>
        <w:pStyle w:val="ListParagraph"/>
        <w:spacing w:after="0" w:line="240" w:lineRule="auto"/>
        <w:rPr>
          <w:rFonts w:eastAsia="Times New Roman" w:cstheme="minorHAnsi"/>
          <w:color w:val="000000" w:themeColor="text1"/>
        </w:rPr>
      </w:pPr>
    </w:p>
    <w:sectPr w:rsidR="00427331" w:rsidRPr="00BB2BBE" w:rsidSect="005858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A6A"/>
    <w:multiLevelType w:val="hybridMultilevel"/>
    <w:tmpl w:val="FCB6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91D6D"/>
    <w:multiLevelType w:val="multilevel"/>
    <w:tmpl w:val="7936750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13BCA"/>
    <w:multiLevelType w:val="multilevel"/>
    <w:tmpl w:val="5132623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44842"/>
    <w:multiLevelType w:val="multilevel"/>
    <w:tmpl w:val="A364DAF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77B2F"/>
    <w:multiLevelType w:val="hybridMultilevel"/>
    <w:tmpl w:val="A3D4A756"/>
    <w:lvl w:ilvl="0" w:tplc="04090001">
      <w:start w:val="1"/>
      <w:numFmt w:val="bullet"/>
      <w:lvlText w:val=""/>
      <w:lvlJc w:val="left"/>
      <w:pPr>
        <w:ind w:left="720" w:hanging="360"/>
      </w:pPr>
      <w:rPr>
        <w:rFonts w:ascii="Symbol" w:hAnsi="Symbol" w:hint="default"/>
      </w:rPr>
    </w:lvl>
    <w:lvl w:ilvl="1" w:tplc="428A0EF0">
      <w:start w:val="1"/>
      <w:numFmt w:val="bullet"/>
      <w:lvlText w:val="–"/>
      <w:lvlJc w:val="left"/>
      <w:pPr>
        <w:ind w:left="1440" w:hanging="360"/>
      </w:pPr>
      <w:rPr>
        <w:rFonts w:ascii="Calibri" w:hAnsi="Calibri" w:hint="default"/>
        <w:b w:val="0"/>
        <w:i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061AB"/>
    <w:multiLevelType w:val="hybridMultilevel"/>
    <w:tmpl w:val="7848C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D1CFA"/>
    <w:multiLevelType w:val="multilevel"/>
    <w:tmpl w:val="1966BAF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73AF0"/>
    <w:multiLevelType w:val="hybridMultilevel"/>
    <w:tmpl w:val="1FA41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9025C"/>
    <w:multiLevelType w:val="hybridMultilevel"/>
    <w:tmpl w:val="7A00D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8A3F52"/>
    <w:multiLevelType w:val="multilevel"/>
    <w:tmpl w:val="6772DC0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ED5409"/>
    <w:multiLevelType w:val="hybridMultilevel"/>
    <w:tmpl w:val="42541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CC2A8D"/>
    <w:multiLevelType w:val="multilevel"/>
    <w:tmpl w:val="3894E35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D40F0"/>
    <w:multiLevelType w:val="multilevel"/>
    <w:tmpl w:val="EB223F4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6771EA"/>
    <w:multiLevelType w:val="hybridMultilevel"/>
    <w:tmpl w:val="EF227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A2428C"/>
    <w:multiLevelType w:val="hybridMultilevel"/>
    <w:tmpl w:val="64128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8A004C"/>
    <w:multiLevelType w:val="hybridMultilevel"/>
    <w:tmpl w:val="19702E32"/>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6" w15:restartNumberingAfterBreak="0">
    <w:nsid w:val="644D2031"/>
    <w:multiLevelType w:val="hybridMultilevel"/>
    <w:tmpl w:val="FAE0F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9F6586"/>
    <w:multiLevelType w:val="hybridMultilevel"/>
    <w:tmpl w:val="B0F07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8B2445"/>
    <w:multiLevelType w:val="multilevel"/>
    <w:tmpl w:val="4978E99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D16381"/>
    <w:multiLevelType w:val="hybridMultilevel"/>
    <w:tmpl w:val="D91A3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9038819">
    <w:abstractNumId w:val="0"/>
  </w:num>
  <w:num w:numId="2" w16cid:durableId="1335572493">
    <w:abstractNumId w:val="8"/>
  </w:num>
  <w:num w:numId="3" w16cid:durableId="26639410">
    <w:abstractNumId w:val="16"/>
  </w:num>
  <w:num w:numId="4" w16cid:durableId="1461217621">
    <w:abstractNumId w:val="15"/>
  </w:num>
  <w:num w:numId="5" w16cid:durableId="886257732">
    <w:abstractNumId w:val="17"/>
  </w:num>
  <w:num w:numId="6" w16cid:durableId="1327054326">
    <w:abstractNumId w:val="10"/>
  </w:num>
  <w:num w:numId="7" w16cid:durableId="1956670800">
    <w:abstractNumId w:val="14"/>
  </w:num>
  <w:num w:numId="8" w16cid:durableId="1744597476">
    <w:abstractNumId w:val="19"/>
  </w:num>
  <w:num w:numId="9" w16cid:durableId="2007129613">
    <w:abstractNumId w:val="13"/>
  </w:num>
  <w:num w:numId="10" w16cid:durableId="1278096810">
    <w:abstractNumId w:val="4"/>
  </w:num>
  <w:num w:numId="11" w16cid:durableId="838815615">
    <w:abstractNumId w:val="7"/>
  </w:num>
  <w:num w:numId="12" w16cid:durableId="1339306508">
    <w:abstractNumId w:val="5"/>
  </w:num>
  <w:num w:numId="13" w16cid:durableId="866411500">
    <w:abstractNumId w:val="18"/>
  </w:num>
  <w:num w:numId="14" w16cid:durableId="381952514">
    <w:abstractNumId w:val="2"/>
  </w:num>
  <w:num w:numId="15" w16cid:durableId="1523127618">
    <w:abstractNumId w:val="12"/>
  </w:num>
  <w:num w:numId="16" w16cid:durableId="738596673">
    <w:abstractNumId w:val="3"/>
  </w:num>
  <w:num w:numId="17" w16cid:durableId="1533036104">
    <w:abstractNumId w:val="9"/>
  </w:num>
  <w:num w:numId="18" w16cid:durableId="174537093">
    <w:abstractNumId w:val="11"/>
  </w:num>
  <w:num w:numId="19" w16cid:durableId="1906603361">
    <w:abstractNumId w:val="1"/>
  </w:num>
  <w:num w:numId="20" w16cid:durableId="1253052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BF"/>
    <w:rsid w:val="00022EA7"/>
    <w:rsid w:val="000300E4"/>
    <w:rsid w:val="00034D51"/>
    <w:rsid w:val="00057465"/>
    <w:rsid w:val="00057DCD"/>
    <w:rsid w:val="00060722"/>
    <w:rsid w:val="00071170"/>
    <w:rsid w:val="00072009"/>
    <w:rsid w:val="00076934"/>
    <w:rsid w:val="00091F60"/>
    <w:rsid w:val="000B0420"/>
    <w:rsid w:val="000B71BA"/>
    <w:rsid w:val="000B7493"/>
    <w:rsid w:val="001077B8"/>
    <w:rsid w:val="00114396"/>
    <w:rsid w:val="00115471"/>
    <w:rsid w:val="00116FDC"/>
    <w:rsid w:val="00173A6B"/>
    <w:rsid w:val="00174A8D"/>
    <w:rsid w:val="001831AF"/>
    <w:rsid w:val="001A594E"/>
    <w:rsid w:val="00241BE0"/>
    <w:rsid w:val="002478DF"/>
    <w:rsid w:val="00256410"/>
    <w:rsid w:val="00264F2E"/>
    <w:rsid w:val="002803D0"/>
    <w:rsid w:val="0029767A"/>
    <w:rsid w:val="002A5A81"/>
    <w:rsid w:val="002A7508"/>
    <w:rsid w:val="002B7B4A"/>
    <w:rsid w:val="002B7FEC"/>
    <w:rsid w:val="002D1AFB"/>
    <w:rsid w:val="002D1B5B"/>
    <w:rsid w:val="002E7625"/>
    <w:rsid w:val="002F28C3"/>
    <w:rsid w:val="00300182"/>
    <w:rsid w:val="00301AF5"/>
    <w:rsid w:val="00303C3E"/>
    <w:rsid w:val="003115BF"/>
    <w:rsid w:val="00316B8D"/>
    <w:rsid w:val="003230BD"/>
    <w:rsid w:val="0032470E"/>
    <w:rsid w:val="00327B5C"/>
    <w:rsid w:val="00342F9D"/>
    <w:rsid w:val="003568BD"/>
    <w:rsid w:val="00365DF0"/>
    <w:rsid w:val="0037006E"/>
    <w:rsid w:val="003741D6"/>
    <w:rsid w:val="0038299D"/>
    <w:rsid w:val="003B1CE8"/>
    <w:rsid w:val="003C1B88"/>
    <w:rsid w:val="003C5599"/>
    <w:rsid w:val="003E3ED6"/>
    <w:rsid w:val="003F2CA4"/>
    <w:rsid w:val="003F75DF"/>
    <w:rsid w:val="0040689B"/>
    <w:rsid w:val="00412F1B"/>
    <w:rsid w:val="00427331"/>
    <w:rsid w:val="00446954"/>
    <w:rsid w:val="00460305"/>
    <w:rsid w:val="00466595"/>
    <w:rsid w:val="00466F4A"/>
    <w:rsid w:val="00467990"/>
    <w:rsid w:val="00474C37"/>
    <w:rsid w:val="00492EE5"/>
    <w:rsid w:val="004C3F36"/>
    <w:rsid w:val="004D369E"/>
    <w:rsid w:val="004F1C7A"/>
    <w:rsid w:val="004F4337"/>
    <w:rsid w:val="004F76F1"/>
    <w:rsid w:val="00515D64"/>
    <w:rsid w:val="00555506"/>
    <w:rsid w:val="00564715"/>
    <w:rsid w:val="00583CAD"/>
    <w:rsid w:val="005840A6"/>
    <w:rsid w:val="005858C8"/>
    <w:rsid w:val="00590B60"/>
    <w:rsid w:val="005A5D02"/>
    <w:rsid w:val="005A7EAB"/>
    <w:rsid w:val="005B0199"/>
    <w:rsid w:val="005B4E35"/>
    <w:rsid w:val="005E10B8"/>
    <w:rsid w:val="00600B93"/>
    <w:rsid w:val="00625E4B"/>
    <w:rsid w:val="00627654"/>
    <w:rsid w:val="0063777F"/>
    <w:rsid w:val="00665B57"/>
    <w:rsid w:val="00687D80"/>
    <w:rsid w:val="006A04C6"/>
    <w:rsid w:val="006C5908"/>
    <w:rsid w:val="006D1D84"/>
    <w:rsid w:val="006D58D7"/>
    <w:rsid w:val="006F779B"/>
    <w:rsid w:val="0070407A"/>
    <w:rsid w:val="00714B7E"/>
    <w:rsid w:val="0071594E"/>
    <w:rsid w:val="007218BA"/>
    <w:rsid w:val="00724A5F"/>
    <w:rsid w:val="007525F6"/>
    <w:rsid w:val="007552CE"/>
    <w:rsid w:val="00774E48"/>
    <w:rsid w:val="0079000E"/>
    <w:rsid w:val="007928BA"/>
    <w:rsid w:val="007E7856"/>
    <w:rsid w:val="008477A2"/>
    <w:rsid w:val="0086146B"/>
    <w:rsid w:val="0086273E"/>
    <w:rsid w:val="00863AF7"/>
    <w:rsid w:val="00873A3A"/>
    <w:rsid w:val="00884983"/>
    <w:rsid w:val="00894A2F"/>
    <w:rsid w:val="008A06A3"/>
    <w:rsid w:val="008A213E"/>
    <w:rsid w:val="008A336F"/>
    <w:rsid w:val="008A6966"/>
    <w:rsid w:val="008B4096"/>
    <w:rsid w:val="008B5E50"/>
    <w:rsid w:val="008C4A44"/>
    <w:rsid w:val="008C7894"/>
    <w:rsid w:val="008E59F7"/>
    <w:rsid w:val="008F13CC"/>
    <w:rsid w:val="00901BEE"/>
    <w:rsid w:val="00952C2B"/>
    <w:rsid w:val="009806F8"/>
    <w:rsid w:val="00985B38"/>
    <w:rsid w:val="00994169"/>
    <w:rsid w:val="0099782C"/>
    <w:rsid w:val="009B72C7"/>
    <w:rsid w:val="009C0D3A"/>
    <w:rsid w:val="009D5CF2"/>
    <w:rsid w:val="009E31CD"/>
    <w:rsid w:val="009F52B9"/>
    <w:rsid w:val="00A053ED"/>
    <w:rsid w:val="00A07910"/>
    <w:rsid w:val="00A1114E"/>
    <w:rsid w:val="00A376F2"/>
    <w:rsid w:val="00A42600"/>
    <w:rsid w:val="00A7023A"/>
    <w:rsid w:val="00A9232D"/>
    <w:rsid w:val="00AB1C0C"/>
    <w:rsid w:val="00AB29A4"/>
    <w:rsid w:val="00AB3F8C"/>
    <w:rsid w:val="00AC1B75"/>
    <w:rsid w:val="00AC47E2"/>
    <w:rsid w:val="00AF38CA"/>
    <w:rsid w:val="00B12E13"/>
    <w:rsid w:val="00B30033"/>
    <w:rsid w:val="00B365E0"/>
    <w:rsid w:val="00B653AE"/>
    <w:rsid w:val="00B666A5"/>
    <w:rsid w:val="00B90672"/>
    <w:rsid w:val="00BA0A8E"/>
    <w:rsid w:val="00BB2BBE"/>
    <w:rsid w:val="00BB5C74"/>
    <w:rsid w:val="00BC0F53"/>
    <w:rsid w:val="00BC62AD"/>
    <w:rsid w:val="00BC795F"/>
    <w:rsid w:val="00BD1D13"/>
    <w:rsid w:val="00BE4564"/>
    <w:rsid w:val="00BF246B"/>
    <w:rsid w:val="00C17E24"/>
    <w:rsid w:val="00C211B6"/>
    <w:rsid w:val="00C3135D"/>
    <w:rsid w:val="00C53470"/>
    <w:rsid w:val="00C64394"/>
    <w:rsid w:val="00C70ABE"/>
    <w:rsid w:val="00C822CC"/>
    <w:rsid w:val="00C9295F"/>
    <w:rsid w:val="00C9781A"/>
    <w:rsid w:val="00CA394B"/>
    <w:rsid w:val="00CA7ACA"/>
    <w:rsid w:val="00CA7F98"/>
    <w:rsid w:val="00CB4DE7"/>
    <w:rsid w:val="00CC00B9"/>
    <w:rsid w:val="00CC2BEF"/>
    <w:rsid w:val="00CC6D9C"/>
    <w:rsid w:val="00CD2355"/>
    <w:rsid w:val="00CF345B"/>
    <w:rsid w:val="00D04199"/>
    <w:rsid w:val="00D15908"/>
    <w:rsid w:val="00D201BF"/>
    <w:rsid w:val="00D22442"/>
    <w:rsid w:val="00D3376A"/>
    <w:rsid w:val="00D50671"/>
    <w:rsid w:val="00D865DD"/>
    <w:rsid w:val="00D8752C"/>
    <w:rsid w:val="00D95730"/>
    <w:rsid w:val="00DA4E0A"/>
    <w:rsid w:val="00DA5642"/>
    <w:rsid w:val="00DB1832"/>
    <w:rsid w:val="00DB464D"/>
    <w:rsid w:val="00DC24F4"/>
    <w:rsid w:val="00DE2134"/>
    <w:rsid w:val="00E13E9C"/>
    <w:rsid w:val="00E323E0"/>
    <w:rsid w:val="00E431F1"/>
    <w:rsid w:val="00E500A4"/>
    <w:rsid w:val="00E5366B"/>
    <w:rsid w:val="00E55468"/>
    <w:rsid w:val="00E63F3E"/>
    <w:rsid w:val="00E8253E"/>
    <w:rsid w:val="00EA602B"/>
    <w:rsid w:val="00EB30CD"/>
    <w:rsid w:val="00ED0E9B"/>
    <w:rsid w:val="00ED245D"/>
    <w:rsid w:val="00ED5BBA"/>
    <w:rsid w:val="00EE2B7B"/>
    <w:rsid w:val="00F805DA"/>
    <w:rsid w:val="00F85F9C"/>
    <w:rsid w:val="00F90BBB"/>
    <w:rsid w:val="00FA0AF3"/>
    <w:rsid w:val="00FA164F"/>
    <w:rsid w:val="00FB4C36"/>
    <w:rsid w:val="00FB4D7D"/>
    <w:rsid w:val="00FC6A7D"/>
    <w:rsid w:val="00FD0A8B"/>
    <w:rsid w:val="00FD1C2D"/>
    <w:rsid w:val="00FD5D1A"/>
    <w:rsid w:val="00FE1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3609"/>
  <w15:chartTrackingRefBased/>
  <w15:docId w15:val="{4E0F82BC-9508-8A49-A3D2-B4120743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3E0"/>
    <w:pPr>
      <w:spacing w:after="200" w:line="276" w:lineRule="auto"/>
      <w:ind w:left="720"/>
      <w:contextualSpacing/>
    </w:pPr>
    <w:rPr>
      <w:sz w:val="22"/>
      <w:szCs w:val="22"/>
    </w:rPr>
  </w:style>
  <w:style w:type="paragraph" w:styleId="Footer">
    <w:name w:val="footer"/>
    <w:basedOn w:val="Normal"/>
    <w:link w:val="FooterChar"/>
    <w:uiPriority w:val="99"/>
    <w:unhideWhenUsed/>
    <w:rsid w:val="00E323E0"/>
    <w:pPr>
      <w:tabs>
        <w:tab w:val="center" w:pos="4680"/>
        <w:tab w:val="right" w:pos="9360"/>
      </w:tabs>
    </w:pPr>
    <w:rPr>
      <w:sz w:val="22"/>
      <w:szCs w:val="22"/>
    </w:rPr>
  </w:style>
  <w:style w:type="character" w:customStyle="1" w:styleId="FooterChar">
    <w:name w:val="Footer Char"/>
    <w:basedOn w:val="DefaultParagraphFont"/>
    <w:link w:val="Footer"/>
    <w:uiPriority w:val="99"/>
    <w:rsid w:val="00E323E0"/>
    <w:rPr>
      <w:sz w:val="22"/>
      <w:szCs w:val="22"/>
    </w:rPr>
  </w:style>
  <w:style w:type="character" w:styleId="Hyperlink">
    <w:name w:val="Hyperlink"/>
    <w:basedOn w:val="DefaultParagraphFont"/>
    <w:uiPriority w:val="99"/>
    <w:unhideWhenUsed/>
    <w:rsid w:val="00E323E0"/>
    <w:rPr>
      <w:color w:val="0563C1" w:themeColor="hyperlink"/>
      <w:u w:val="single"/>
    </w:rPr>
  </w:style>
  <w:style w:type="table" w:styleId="TableGrid">
    <w:name w:val="Table Grid"/>
    <w:basedOn w:val="TableNormal"/>
    <w:uiPriority w:val="59"/>
    <w:rsid w:val="00BB2B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62AD"/>
  </w:style>
  <w:style w:type="character" w:styleId="CommentReference">
    <w:name w:val="annotation reference"/>
    <w:basedOn w:val="DefaultParagraphFont"/>
    <w:uiPriority w:val="99"/>
    <w:semiHidden/>
    <w:unhideWhenUsed/>
    <w:rsid w:val="001831AF"/>
    <w:rPr>
      <w:sz w:val="16"/>
      <w:szCs w:val="16"/>
    </w:rPr>
  </w:style>
  <w:style w:type="paragraph" w:styleId="CommentText">
    <w:name w:val="annotation text"/>
    <w:basedOn w:val="Normal"/>
    <w:link w:val="CommentTextChar"/>
    <w:uiPriority w:val="99"/>
    <w:unhideWhenUsed/>
    <w:rsid w:val="001831AF"/>
    <w:rPr>
      <w:sz w:val="20"/>
      <w:szCs w:val="20"/>
    </w:rPr>
  </w:style>
  <w:style w:type="character" w:customStyle="1" w:styleId="CommentTextChar">
    <w:name w:val="Comment Text Char"/>
    <w:basedOn w:val="DefaultParagraphFont"/>
    <w:link w:val="CommentText"/>
    <w:uiPriority w:val="99"/>
    <w:rsid w:val="001831AF"/>
    <w:rPr>
      <w:sz w:val="20"/>
      <w:szCs w:val="20"/>
    </w:rPr>
  </w:style>
  <w:style w:type="paragraph" w:styleId="CommentSubject">
    <w:name w:val="annotation subject"/>
    <w:basedOn w:val="CommentText"/>
    <w:next w:val="CommentText"/>
    <w:link w:val="CommentSubjectChar"/>
    <w:uiPriority w:val="99"/>
    <w:semiHidden/>
    <w:unhideWhenUsed/>
    <w:rsid w:val="001831AF"/>
    <w:rPr>
      <w:b/>
      <w:bCs/>
    </w:rPr>
  </w:style>
  <w:style w:type="character" w:customStyle="1" w:styleId="CommentSubjectChar">
    <w:name w:val="Comment Subject Char"/>
    <w:basedOn w:val="CommentTextChar"/>
    <w:link w:val="CommentSubject"/>
    <w:uiPriority w:val="99"/>
    <w:semiHidden/>
    <w:rsid w:val="001831AF"/>
    <w:rPr>
      <w:b/>
      <w:bCs/>
      <w:sz w:val="20"/>
      <w:szCs w:val="20"/>
    </w:rPr>
  </w:style>
  <w:style w:type="character" w:styleId="UnresolvedMention">
    <w:name w:val="Unresolved Mention"/>
    <w:basedOn w:val="DefaultParagraphFont"/>
    <w:uiPriority w:val="99"/>
    <w:semiHidden/>
    <w:unhideWhenUsed/>
    <w:rsid w:val="00C70ABE"/>
    <w:rPr>
      <w:color w:val="605E5C"/>
      <w:shd w:val="clear" w:color="auto" w:fill="E1DFDD"/>
    </w:rPr>
  </w:style>
  <w:style w:type="character" w:styleId="FollowedHyperlink">
    <w:name w:val="FollowedHyperlink"/>
    <w:basedOn w:val="DefaultParagraphFont"/>
    <w:uiPriority w:val="99"/>
    <w:semiHidden/>
    <w:unhideWhenUsed/>
    <w:rsid w:val="00590B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ssomspregnancyregistry.com/" TargetMode="External"/><Relationship Id="rId3" Type="http://schemas.openxmlformats.org/officeDocument/2006/relationships/settings" Target="settings.xml"/><Relationship Id="rId7" Type="http://schemas.openxmlformats.org/officeDocument/2006/relationships/hyperlink" Target="https://www.vumerityhcp.com/content/dam/commercial/vumerity/hcp/en_us/pdf/vumerity-prescribing-inform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umerityhcp.com/content/dam/commercial/vumerity/hcp/en_us/pdf/vumerity-prescribing-information.pdf" TargetMode="External"/><Relationship Id="rId11" Type="http://schemas.openxmlformats.org/officeDocument/2006/relationships/theme" Target="theme/theme1.xml"/><Relationship Id="rId5" Type="http://schemas.openxmlformats.org/officeDocument/2006/relationships/hyperlink" Target="https://www.vumerityhcp.com/content/dam/commercial/vumerity/hcp/en_us/pdf/vumerity-prescribing-information.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umerityhcp.com/content/dam/commercial/vumerity/hcp/en_us/pdf/vumerity-prescribing-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3282</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Willett, Haley</dc:creator>
  <cp:keywords/>
  <dc:description/>
  <cp:lastModifiedBy>Sainz, Alexa</cp:lastModifiedBy>
  <cp:revision>2</cp:revision>
  <dcterms:created xsi:type="dcterms:W3CDTF">2023-12-21T18:06:00Z</dcterms:created>
  <dcterms:modified xsi:type="dcterms:W3CDTF">2023-12-21T18:06:00Z</dcterms:modified>
</cp:coreProperties>
</file>